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EPSV — Anerkennungsvoraussetzungen</w:t>
      </w:r>
    </w:p>
    <w:p>
      <w:r>
        <w:rPr>
          <w:color w:val="555555"/>
          <w:sz w:val="18"/>
        </w:rPr>
        <w:t xml:space="preserve">Eisenbahn-Prüfsachverständigenverordnung</w:t>
      </w:r>
    </w:p>
    <w:p>
      <w:r>
        <w:rPr>
          <w:color w:val="555555"/>
          <w:sz w:val="18"/>
        </w:rPr>
        <w:t xml:space="preserve">Stand: 01.12.2020 (konsolidierte Textfassung, kein amtliches Inkrafttretensdatum)</w:t>
      </w:r>
    </w:p>
    <w:p>
      <w:r>
        <w:t xml:space="preserve">(1) Prüfsachverständige bedürfen vor Aufnahme ihrer Tätigkeit der Anerkennung durch die zuständige Behörde.</w:t>
      </w:r>
    </w:p>
    <w:p>
      <w:r>
        <w:t xml:space="preserve">(2) Die zuständige Behörde erkennt eine Person auf deren Antrag als Prüfsachverständigen an, wenn diese Person</w:t>
      </w:r>
    </w:p>
    <w:p>
      <w:pPr>
        <w:ind w:left="420"/>
      </w:pPr>
      <w:r>
        <w:t xml:space="preserve">1. ein Studium an einer deutschen Hochschule oder eine vergleichbare Ausbildung in einem Mitgliedstaat der Europäischen Union in einer Fachrichtung erfolgreich abgeschlossen hat, die einschlägig ist für das Fachgebiet, für das die Anerkennung beantragt wird,</w:t>
      </w:r>
    </w:p>
    <w:p>
      <w:pPr>
        <w:ind w:left="420"/>
      </w:pPr>
      <w:r>
        <w:t xml:space="preserve">2. über Fachkunde im Eisenbahnwesen nach Anlage 1 verfügt,</w:t>
      </w:r>
    </w:p>
    <w:p>
      <w:pPr>
        <w:ind w:left="420"/>
      </w:pPr>
      <w:r>
        <w:t xml:space="preserve">3. über eine ausreichende Berufserfahrung in den Tätigkeiten des Fachgebietes und des zugehörigen Teilgebietes nach Anlage 2 verfügt, für das die Anerkennung beantragt wird,</w:t>
      </w:r>
    </w:p>
    <w:p>
      <w:pPr>
        <w:ind w:left="420"/>
      </w:pPr>
      <w:r>
        <w:t xml:space="preserve">4. bei der Ausübung ihrer Tätigkeit als Prüfsachverständiger weisungsfrei ist, so dass sie ihre Aufgaben unabhängig und unparteiisch wahrnehmen kann,</w:t>
      </w:r>
    </w:p>
    <w:p>
      <w:pPr>
        <w:ind w:left="420"/>
      </w:pPr>
      <w:r>
        <w:t xml:space="preserve">5. über deutsche Sprachkenntnisse auf dem Niveau C1 des Gemeinsamen europäischen Referenzrahmens für Sprachen[1] verfügt,</w:t>
      </w:r>
    </w:p>
    <w:p>
      <w:pPr>
        <w:ind w:left="420"/>
      </w:pPr>
      <w:r>
        <w:t xml:space="preserve">6. zuverlässig ist und</w:t>
      </w:r>
    </w:p>
    <w:p>
      <w:pPr>
        <w:ind w:left="420"/>
      </w:pPr>
      <w:r>
        <w:t xml:space="preserve">7. körperlich geeignet ist.</w:t>
      </w:r>
    </w:p>
    <w:p>
      <w:r>
        <w:t xml:space="preserve">1 Amtlicher Hinweis: Dieser Referenzrahmen ist erschienen unter dem Titel „Gemeinsamer europäischer Referenzrahmen für Sprachen, Begleitband mit neuen Deskriptoren“, ISBN: 978-3-12-676999-0, © Ernst Klett Sprachen GmbH, Stuttgart, 2020.</w:t>
      </w:r>
    </w:p>
    <w:p>
      <w:r>
        <w:rPr>
          <w:color w:val="555555"/>
          <w:sz w:val="17"/>
        </w:rPr>
        <w:t xml:space="preserve">Zitiervorschlag: § 4 EPSV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https://recht.nulegal.eu/gesetze/EPSV/4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