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EPSV — Überwachung</w:t>
      </w:r>
    </w:p>
    <w:p>
      <w:r>
        <w:rPr>
          <w:color w:val="555555"/>
          <w:sz w:val="18"/>
        </w:rPr>
        <w:t xml:space="preserve">Eisenbahn-Prüfsachverständigenverordnung</w:t>
      </w:r>
    </w:p>
    <w:p>
      <w:r>
        <w:rPr>
          <w:color w:val="555555"/>
          <w:sz w:val="18"/>
        </w:rPr>
        <w:t xml:space="preserve">Stand: 01.12.2020 (konsolidierte Textfassung, kein amtliches Inkrafttretensdatum)</w:t>
      </w:r>
    </w:p>
    <w:p>
      <w:r>
        <w:t xml:space="preserve">(1) Die zuständige Behörde überwacht die Prüfsachverständigen regelmäßig.</w:t>
      </w:r>
    </w:p>
    <w:p>
      <w:r>
        <w:t xml:space="preserve">(2) Die Überwachung kann insbesondere erfolgen in Form</w:t>
      </w:r>
    </w:p>
    <w:p>
      <w:pPr>
        <w:ind w:left="420"/>
      </w:pPr>
      <w:r>
        <w:t xml:space="preserve">1. einer Durchsicht von Arbeitsergebnissen,</w:t>
      </w:r>
    </w:p>
    <w:p>
      <w:pPr>
        <w:ind w:left="420"/>
      </w:pPr>
      <w:r>
        <w:t xml:space="preserve">2. einer Begleitung bei der Durchführung von Prüfungen,</w:t>
      </w:r>
    </w:p>
    <w:p>
      <w:pPr>
        <w:ind w:left="420"/>
      </w:pPr>
      <w:r>
        <w:t xml:space="preserve">3. einer Befragung,</w:t>
      </w:r>
    </w:p>
    <w:p>
      <w:pPr>
        <w:ind w:left="420"/>
      </w:pPr>
      <w:r>
        <w:t xml:space="preserve">4. einer Auditierung oder</w:t>
      </w:r>
    </w:p>
    <w:p>
      <w:pPr>
        <w:ind w:left="420"/>
      </w:pPr>
      <w:r>
        <w:t xml:space="preserve">5. einer Auswertung von elektronisch gespeicherten Arbeitsergebnissen.</w:t>
      </w:r>
    </w:p>
    <w:p>
      <w:r>
        <w:rPr>
          <w:color w:val="555555"/>
          <w:sz w:val="17"/>
        </w:rPr>
        <w:t xml:space="preserve">Zitiervorschlag: § 24 EPSV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https://recht.nulegal.eu/gesetze/EPSV/24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