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EPSV — Auskunftspflichten</w:t>
      </w:r>
    </w:p>
    <w:p>
      <w:r>
        <w:rPr>
          <w:color w:val="555555"/>
          <w:sz w:val="18"/>
        </w:rPr>
        <w:t xml:space="preserve">Eisenbahn-Prüfsachverständigenverordnung</w:t>
      </w:r>
    </w:p>
    <w:p>
      <w:r>
        <w:rPr>
          <w:color w:val="555555"/>
          <w:sz w:val="18"/>
        </w:rPr>
        <w:t xml:space="preserve">Stand: 01.12.2020 (konsolidierte Textfassung, kein amtliches Inkrafttretensdatum)</w:t>
      </w:r>
    </w:p>
    <w:p>
      <w:r>
        <w:t xml:space="preserve">Der Prüfsachverständige hat der zuständigen Behörde auf deren Verlangen unentgeltlich solche Auskünfte zu erteilen und angeforderte Unterlagen vorzulegen, die zur Überwachung seiner Tätigkeit und der Einhaltung seiner Pflichten erforderlich sind.</w:t>
      </w:r>
    </w:p>
    <w:p>
      <w:r>
        <w:rPr>
          <w:color w:val="555555"/>
          <w:sz w:val="17"/>
        </w:rPr>
        <w:t xml:space="preserve">Zitiervorschlag: § 22 EPSV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https://recht.nulegal.eu/gesetze/EPSV/22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