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EPSV — Prüfung bei festgestellten Abweichungen von nationalen technischen Vorschriften oder behördlichen Entscheidungen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Wenn eine Abweichung von den nationalen technischen Vorschriften oder den zu beachtenden behördlichen Entscheidungen festgestellt wird, prüft der Prüfsachverständige,</w:t>
      </w:r>
    </w:p>
    <w:p>
      <w:pPr>
        <w:ind w:left="420"/>
      </w:pPr>
      <w:r>
        <w:t xml:space="preserve">1. ob der Nachweis mindestens gleicher Sicherheit geführt worden ist,</w:t>
      </w:r>
    </w:p>
    <w:p>
      <w:pPr>
        <w:ind w:left="420"/>
      </w:pPr>
      <w:r>
        <w:t xml:space="preserve">2. ob ein Vergleich mit einem Referenzsystem angestellt worden ist und ob das gleiche Sicherheitsniveau erreicht wird wie bei der Einhaltung der geltenden nationalen technischen Vorschriften oder</w:t>
      </w:r>
    </w:p>
    <w:p>
      <w:pPr>
        <w:ind w:left="420"/>
      </w:pPr>
      <w:r>
        <w:t xml:space="preserve">3. ob eine explizite Risikoabschätzung durchgeführt worden ist und ob alle zu ermittelnden Gefährdungen auf einem vertretbaren Niveau gehalten werden.</w:t>
      </w:r>
    </w:p>
    <w:p>
      <w:r>
        <w:t xml:space="preserve">Dies gilt nicht, wenn die Durchführung eines Risikomanagementverfahrens wegen einer signifikanten Änderung nach der Durchführungsverordnung (EU) Nr. 402/2013 der Kommission vom 30. April 2013 über die gemeinsame Sicherheitsmethode für die Evaluierung und Bewertung von Risiken und zur Aufhebung der Verordnung (EG) Nr. 352/2009 (ABl. L 121 vom 3.5.2013, S. 8), die durch die Durchführungsverordnung (EU) 2015/1136 (ABl. L 185 vom 14.7.2015, S. 6; L 70 vom 16.3.2016, S. 38) geändert worden ist, erforderlich ist.</w:t>
      </w:r>
    </w:p>
    <w:p>
      <w:r>
        <w:rPr>
          <w:color w:val="555555"/>
          <w:sz w:val="17"/>
        </w:rPr>
        <w:t xml:space="preserve">Zitiervorschlag: § 13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