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EPPSG — Rechtsweg</w:t>
      </w:r>
    </w:p>
    <w:p>
      <w:r>
        <w:rPr>
          <w:color w:val="555555"/>
          <w:sz w:val="18"/>
        </w:rPr>
        <w:t xml:space="preserve">Studierenden-Energiepreispauschalengesetz</w:t>
      </w:r>
    </w:p>
    <w:p>
      <w:r>
        <w:rPr>
          <w:color w:val="555555"/>
          <w:sz w:val="18"/>
        </w:rPr>
        <w:t xml:space="preserve">Stand: 21.12.2022 (konsolidierte Textfassung, kein amtliches Inkrafttretensdatum)</w:t>
      </w:r>
    </w:p>
    <w:p>
      <w:r>
        <w:t xml:space="preserve">Für öffentlich-rechtliche Streitigkeiten nach diesem Gesetz ist der Verwaltungsrechtsweg eröffnet. Ein Vorverfahren ist nicht erforderlich.</w:t>
      </w:r>
    </w:p>
    <w:p>
      <w:r>
        <w:rPr>
          <w:color w:val="555555"/>
          <w:sz w:val="17"/>
        </w:rPr>
        <w:t xml:space="preserve">Zitiervorschlag: § 6 EPPSG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https://recht.nulegal.eu/gesetze/EPPSG/6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