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EPPSG — Verzicht auf Rückforderungen</w:t>
      </w:r>
    </w:p>
    <w:p>
      <w:r>
        <w:rPr>
          <w:color w:val="555555"/>
          <w:sz w:val="18"/>
        </w:rPr>
        <w:t xml:space="preserve">Studierenden-Energiepreispauschalengesetz</w:t>
      </w:r>
    </w:p>
    <w:p>
      <w:r>
        <w:rPr>
          <w:color w:val="555555"/>
          <w:sz w:val="18"/>
        </w:rPr>
        <w:t xml:space="preserve">Stand: 21.12.2022 (konsolidierte Textfassung, kein amtliches Inkrafttretensdatum)</w:t>
      </w:r>
    </w:p>
    <w:p>
      <w:r>
        <w:t xml:space="preserve">Entfällt nachträglich mindestens eine der Voraussetzungen für den Anspruch auf die Energiepreispauschale, so darf die Energiepreispauschale nicht zurückgefordert werden.</w:t>
      </w:r>
    </w:p>
    <w:p>
      <w:r>
        <w:rPr>
          <w:color w:val="555555"/>
          <w:sz w:val="17"/>
        </w:rPr>
        <w:t xml:space="preserve">Zitiervorschlag: § 5 EPPSG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https://recht.nulegal.eu/gesetze/EPPSG/5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