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EPPSG — Anspruchsberechtigung, Höhe der Energiepreispauschale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Ein Anspruch auf Zahlung einer einmaligen Energiepreispauschale in Höhe von 200 Euro besteht für jede Person, die am 1. Dezember 2022 an einer in Deutschland gelegenen Ausbildungsstätte im Sinne des § 2 Absatz 1 Satz 1 Nummer 6 des Bundesausbildungsförderungsgesetzes immatrikuliert war. Dies ist nicht für eine Person anzuwenden, die an dem in Satz 1 genannten Stichtag ausschließlich als Gasthörer oder Gaststudierender immatrikuliert war.</w:t>
      </w:r>
    </w:p>
    <w:p>
      <w:r>
        <w:t xml:space="preserve">(2) Ein Anspruch auf Zahlung einer einmaligen Energiepreispauschale in Höhe von 200 Euro besteht ferner für jede Person, die am 1. Dezember 2022 für den Besuch angemeldet war an:</w:t>
      </w:r>
    </w:p>
    <w:p>
      <w:pPr>
        <w:ind w:left="420"/>
      </w:pPr>
      <w:r>
        <w:t xml:space="preserve">1. einer im Inland gelegenen Ausbildungsstätte im Sinne des § 2 Absatz 1 Satz 1 Nummer 2 des Bundesausbildungsförderungsgesetzes,</w:t>
      </w:r>
    </w:p>
    <w:p>
      <w:pPr>
        <w:ind w:left="420"/>
      </w:pPr>
      <w:r>
        <w:t xml:space="preserve">2. einer im Inland gelegenen Ausbildungsstätte im Sinne des § 2 Absatz 1 Satz 1 Nummer 3 des Bundesausbildungsförderungsgesetzes, mit Ausnahme der Fachoberschulen,</w:t>
      </w:r>
    </w:p>
    <w:p>
      <w:pPr>
        <w:ind w:left="420"/>
      </w:pPr>
      <w:r>
        <w:t xml:space="preserve">3. einer im Inland gelegenen Ausbildungsstätte im Sinne des § 2 Absatz 1 Satz 1 Nummer 5 des Bundesausbildungsförderungsgesetzes oder</w:t>
      </w:r>
    </w:p>
    <w:p>
      <w:pPr>
        <w:ind w:left="420"/>
      </w:pPr>
      <w:r>
        <w:t xml:space="preserve">4. einer im Inland gelegenen Ausbildungsstätte, die in einer Rechtsverordnung nach § 2 Absatz 3 Nummer 1 des Bundesausbildungsförderungsgesetzes erfasst ist, sofern die Ausbildungsstätte einer Ausbildungsstätte nach den Nummern 1 bis 3 zugeordnet werden kann, mit Ausnahme der Verordnung über die Ausbildungsförderung für die Teilnahme an Vorkursen zur Vorbereitung des Besuchs von Kollegs und Hochschulen.</w:t>
      </w:r>
    </w:p>
    <w:p>
      <w:r>
        <w:t xml:space="preserve">(3) § 2 Absatz 1 Satz 2 des Bundesausbildungsförderungsgesetzes ist entsprechend anzuwenden. § 2 Absatz 1 Satz 3 des Bundesausbildungsförderungsgesetzes ist mit der Maßgabe anzuwenden, dass nur solche Ersatzschulen erfasst sind, die eine in Absatz 2 genannte Ausbildungsstätte ersetzen.</w:t>
      </w:r>
    </w:p>
    <w:p>
      <w:r>
        <w:t xml:space="preserve">(4) Die in § 2 Absatz 2 des Bundesausbildungsförderungsgesetzes genannten Ausbildungsstätten, deren Besuch dem Besuch einer in § 2 Absatz 1 des Bundesausbildungsförderungsgesetzes genannten Ausbildungsstätte gleichwertig ist, stehen den in Absatz 1 oder Absatz 2 genannten Ausbildungsstätten gleich. Die Anerkennung der Gleichwertigkeit im Sinne des § 2 Absatz 2 des Bundesausbildungsförderungsgesetzes muss am 1. Dezember 2022 vorgelegen haben.</w:t>
      </w:r>
    </w:p>
    <w:p>
      <w:r>
        <w:t xml:space="preserve">(5) Einen Anspruch nach Absatz 1 bis 4 haben nur Personen, die am 1. Dezember 2022 ihren Wohnsitz oder gewöhnlichen Aufenthalt in der Bundesrepublik Deutschland hatten.</w:t>
      </w:r>
    </w:p>
    <w:p>
      <w:r>
        <w:rPr>
          <w:color w:val="555555"/>
          <w:sz w:val="17"/>
        </w:rPr>
        <w:t xml:space="preserve">Zitiervorschlag: § 1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