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EOMV (Brandenburg) — In-Kraft-Treten, Außer-Kraft-Treten</w:t>
      </w:r>
    </w:p>
    <w:p>
      <w:r>
        <w:rPr>
          <w:color w:val="555555"/>
          <w:sz w:val="18"/>
        </w:rPr>
        <w:t xml:space="preserve">Erziehungs- und Ordnungsmaßnahmen 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tritt die Erziehungs- und Ordnungsmaßnahmen Verordnung vom 26. Februar 1993 (GVBl. II S. 114) nach Maßgabe des § 12 außer Kraft.</w:t>
      </w:r>
    </w:p>
    <w:p>
      <w:r>
        <w:t xml:space="preserve">Potsdam, den 12. Oktober 1999</w:t>
      </w:r>
    </w:p>
    <w:p>
      <w:r>
        <w:t xml:space="preserve">Die Ministerin für Bildung, Jugend und Sport</w:t>
      </w:r>
    </w:p>
    <w:p>
      <w:r>
        <w:t xml:space="preserve">Angelika Peter</w:t>
      </w:r>
    </w:p>
    <w:p>
      <w:r>
        <w:rPr>
          <w:color w:val="555555"/>
          <w:sz w:val="17"/>
        </w:rPr>
        <w:t xml:space="preserve">Zitiervorschlag: § 13 EOMV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https://recht.nulegal.eu/gesetze/EOMV/13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