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ENeuOG</w:t>
      </w:r>
    </w:p>
    <w:p>
      <w:r>
        <w:rPr>
          <w:color w:val="555555"/>
          <w:sz w:val="18"/>
        </w:rPr>
        <w:t xml:space="preserve">Eisenbahnneuordnungsgesetz</w:t>
      </w:r>
    </w:p>
    <w:p>
      <w:r>
        <w:rPr>
          <w:color w:val="555555"/>
          <w:sz w:val="18"/>
        </w:rPr>
        <w:t xml:space="preserve">Stand: 10.06.2019 (konsolidierte Textfassung, kein amtliches Inkrafttretensdatum)</w:t>
      </w:r>
    </w:p>
    <w:p>
      <w:r>
        <w:t xml:space="preserve">Bis zur Eintragung der gemäß § 1 Abs. 1 des Deutsche Bahn Gründungsgesetzes gegründeten Deutsche Bahn Aktiengesellschaft in das Handelsregister gelten die §§ 8, 8a, 8b, 9, 9a und 19a des Bundesbahngesetzes fort mit der Maßgabe, daß an die Stelle der Deutschen Bundesbahn das Bundeseisenbahnvermögen tritt. § 18 des Deutsche Bahn Gründungsgesetzes bleibt unberührt. § 23 des Bundesbahngesetzes gilt bis zur Ausgliederung nach § 2 Abs. 1 des Deutsche Bahn Gründungsgesetzes fort mit der Maßgabe, daß an die Stelle des Vorstandes der Deutschen Bundesbahn das Bundeseisenbahnvermögen tritt. Die Befristung der Fortgeltung des § 23 des Bundesbahngesetzes gilt nicht für die Beamten, die Dritten gemäß § 16 des Deutsche Bahn Gründungsgesetzes zur Dienstleistung überlassen sind.</w:t>
      </w:r>
    </w:p>
    <w:p>
      <w:r>
        <w:rPr>
          <w:color w:val="555555"/>
          <w:sz w:val="17"/>
        </w:rPr>
        <w:t xml:space="preserve">Zitiervorschlag: § 3 ENeuOG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https://recht.nulegal.eu/gesetze/ENeuOG/3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