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ENeuOG</w:t>
      </w:r>
    </w:p>
    <w:p>
      <w:r>
        <w:rPr>
          <w:color w:val="555555"/>
          <w:sz w:val="18"/>
        </w:rPr>
        <w:t xml:space="preserve">Eisenbahnneuordnungsgesetz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Inkrafttreten dieses Gesetzes treten außer Kraft:</w:t>
      </w:r>
    </w:p>
    <w:p>
      <w:pPr>
        <w:ind w:left="420"/>
      </w:pPr>
      <w:r>
        <w:t xml:space="preserve">1. das Allgemeine Eisenbahngesetz in der im Bundesgesetzblatt Teil III, Gliederungsnummer 930-1, veröffentlichten bereinigten Fassung, zuletzt geändert durch Artikel 2 des Gesetzes vom 13. August 1993 (BGBl. I S. 1489), soweit sich aus § 2 nichts anderes ergibt,</w:t>
      </w:r>
    </w:p>
    <w:p>
      <w:pPr>
        <w:ind w:left="420"/>
      </w:pPr>
      <w:r>
        <w:t xml:space="preserve">2. das Bundesbahngesetz in der im Bundesgesetzblatt Teil III, Gliederungsnummer 931-1, veröffentlichten bereinigten Fassung, zuletzt geändert durch Artikel 6 Abs. 129 dieses Gesetzes, soweit sich aus § 3 nichts anderes ergibt,</w:t>
      </w:r>
    </w:p>
    <w:p>
      <w:r>
        <w:t xml:space="preserve">3.</w:t>
      </w:r>
    </w:p>
    <w:p>
      <w:r>
        <w:rPr>
          <w:color w:val="555555"/>
          <w:sz w:val="17"/>
        </w:rPr>
        <w:t xml:space="preserve">Zitiervorschlag: § 1 ENeuOG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https://recht.nulegal.eu/gesetze/ENeuOG/1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