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EMitwV (Brandenburg) — Ombudspersonen</w:t>
      </w:r>
    </w:p>
    <w:p>
      <w:r>
        <w:rPr>
          <w:color w:val="555555"/>
          <w:sz w:val="18"/>
        </w:rPr>
        <w:t xml:space="preserve">Einrichtungsmitwirkungsverordnung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</w:t>
      </w:r>
    </w:p>
    <w:p>
      <w:r>
        <w:t xml:space="preserve">kreisfreie Stadt, die amtsfreie Gemeinde oder das Amt, in deren Gebiet sich die</w:t>
      </w:r>
    </w:p>
    <w:p>
      <w:r>
        <w:t xml:space="preserve">Einrichtung befindet, kann für die Einrichtung eine oder mehrere Ombudspersonen</w:t>
      </w:r>
    </w:p>
    <w:p>
      <w:r>
        <w:t xml:space="preserve">benennen. Wird hiervon kein Gebrauch gemacht, kann die Benennung durch die</w:t>
      </w:r>
    </w:p>
    <w:p>
      <w:r>
        <w:t xml:space="preserve">zuständige Behörde erfolgen. Die Benennung erfolgt in der Regel auf bestimmte</w:t>
      </w:r>
    </w:p>
    <w:p>
      <w:r>
        <w:t xml:space="preserve">Zeit. Sie kann auch auf unbestimmte Zeit erfolgen. Die Benennung kann jederzeit</w:t>
      </w:r>
    </w:p>
    <w:p>
      <w:r>
        <w:t xml:space="preserve">mit Wirkung für die Zukunft widerrufen werden. Eine erneute Benennung ist</w:t>
      </w:r>
    </w:p>
    <w:p>
      <w:r>
        <w:t xml:space="preserve">zulässig. Bei der Benennung sind ehrenamtlich engagierte Personen und</w:t>
      </w:r>
    </w:p>
    <w:p>
      <w:r>
        <w:t xml:space="preserve">Organisationen, insbesondere die Senioren- und Behindertenbeiräte, sowie die</w:t>
      </w:r>
    </w:p>
    <w:p>
      <w:r>
        <w:t xml:space="preserve">Vorschläge des Bewohnerschaftsrates zu berücksichtigen. Nachvollziehbare</w:t>
      </w:r>
    </w:p>
    <w:p>
      <w:r>
        <w:t xml:space="preserve">Einwände des Leistungsanbieters sollen berücksichtigt werden.</w:t>
      </w:r>
    </w:p>
    <w:p>
      <w:r>
        <w:t xml:space="preserve">(2) Ombudspersonen</w:t>
      </w:r>
    </w:p>
    <w:p>
      <w:r>
        <w:t xml:space="preserve">fördern die Beteiligung der Bewohnerinnen und Bewohner am gesellschaftlichen</w:t>
      </w:r>
    </w:p>
    <w:p>
      <w:r>
        <w:t xml:space="preserve">Leben in der Gemeinde oder im Stadtteil. Sie unterstützen auch den</w:t>
      </w:r>
    </w:p>
    <w:p>
      <w:r>
        <w:t xml:space="preserve">Bewohnerschaftsrat bei der Wahrnehmung der Interessen der Bewohnerinnen und</w:t>
      </w:r>
    </w:p>
    <w:p>
      <w:r>
        <w:t xml:space="preserve">Bewohner in diesem Bereich.</w:t>
      </w:r>
    </w:p>
    <w:p>
      <w:r>
        <w:t xml:space="preserve">(3) Soweit</w:t>
      </w:r>
    </w:p>
    <w:p>
      <w:r>
        <w:t xml:space="preserve">der Bewohnerschaftsrat es beschließt, können die Mitwirkungsrechte im</w:t>
      </w:r>
    </w:p>
    <w:p>
      <w:r>
        <w:t xml:space="preserve">erweiterten Mitwirkungsbereich durch den Bewohnerschaftsrat und die</w:t>
      </w:r>
    </w:p>
    <w:p>
      <w:r>
        <w:t xml:space="preserve">Ombudspersonen gemeinsam wahrgenommen werden. In diesem Fall gilt § 7 Absatz 3</w:t>
      </w:r>
    </w:p>
    <w:p>
      <w:r>
        <w:t xml:space="preserve">Satz 2 und 3 entsprechend.</w:t>
      </w:r>
    </w:p>
    <w:p>
      <w:r>
        <w:t xml:space="preserve">(4) Der</w:t>
      </w:r>
    </w:p>
    <w:p>
      <w:r>
        <w:t xml:space="preserve">Leistungsanbieter ist verpflichtet, die Wahrnehmung der Aufgaben der</w:t>
      </w:r>
    </w:p>
    <w:p>
      <w:r>
        <w:t xml:space="preserve">Ombudspersonen zu ermöglichen. Der Kontakt zu den Bewohnerinnen und Bewohnern</w:t>
      </w:r>
    </w:p>
    <w:p>
      <w:r>
        <w:t xml:space="preserve">der Einrichtung und der Zutritt zu den Gemeinschaftsräumen darf durch den</w:t>
      </w:r>
    </w:p>
    <w:p>
      <w:r>
        <w:t xml:space="preserve">Leistungsanbieter zu den üblichen Geschäftszeiten nicht beschränkt werden.</w:t>
      </w:r>
    </w:p>
    <w:p>
      <w:r>
        <w:rPr>
          <w:color w:val="555555"/>
          <w:sz w:val="17"/>
        </w:rPr>
        <w:t xml:space="preserve">Zitiervorschlag: § 9 EMitwV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https://recht.nulegal.eu/gesetze/EMitwV/9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