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EMitwV (Brandenburg) — Inkrafttreten</w:t>
      </w:r>
    </w:p>
    <w:p>
      <w:r>
        <w:rPr>
          <w:color w:val="555555"/>
          <w:sz w:val="18"/>
        </w:rPr>
        <w:t xml:space="preserve">Einrichtungsmitwirkungsverordnung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</w:t>
      </w:r>
    </w:p>
    <w:p>
      <w:r>
        <w:t xml:space="preserve">Tag nach der Verkündung in Kraft.</w:t>
      </w:r>
    </w:p>
    <w:p>
      <w:r>
        <w:t xml:space="preserve">Potsdam, den 6. Februar 2012</w:t>
      </w:r>
    </w:p>
    <w:p>
      <w:r>
        <w:t xml:space="preserve">Der Minister für Arbeit,</w:t>
      </w:r>
    </w:p>
    <w:p>
      <w:r>
        <w:t xml:space="preserve">Soziales, Frauen und Familie</w:t>
      </w:r>
    </w:p>
    <w:p>
      <w:r>
        <w:t xml:space="preserve">Günter Baaske</w:t>
      </w:r>
    </w:p>
    <w:p>
      <w:r>
        <w:rPr>
          <w:color w:val="555555"/>
          <w:sz w:val="17"/>
        </w:rPr>
        <w:t xml:space="preserve">Zitiervorschlag: § 12 EMitwV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https://recht.nulegal.eu/gesetze/EMitwV/12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