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EMitwV (Brandenburg) — Übergangsregelungen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Heimbeiräte und</w:t>
      </w:r>
    </w:p>
    <w:p>
      <w:r>
        <w:t xml:space="preserve">Bewohnerschaftsräte, die vor Inkrafttreten dieser Verordnung gewählt worden sind</w:t>
      </w:r>
    </w:p>
    <w:p>
      <w:r>
        <w:t xml:space="preserve">und deren Amtszeit im Sinne des § 5 Absatz 1 noch nicht beendet ist, müssen</w:t>
      </w:r>
    </w:p>
    <w:p>
      <w:r>
        <w:t xml:space="preserve">nicht neu gewählt werden.</w:t>
      </w:r>
    </w:p>
    <w:p>
      <w:r>
        <w:rPr>
          <w:color w:val="555555"/>
          <w:sz w:val="17"/>
        </w:rPr>
        <w:t xml:space="preserve">Zitiervorschlag: § 11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