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EMitwV (Brandenburg) — Ordnungswidrigkeiten</w:t>
      </w:r>
    </w:p>
    <w:p>
      <w:r>
        <w:rPr>
          <w:color w:val="555555"/>
          <w:sz w:val="18"/>
        </w:rPr>
        <w:t xml:space="preserve">Einrichtungsmitwirkungsverordnung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Ordnungswidrig im Sinne von</w:t>
      </w:r>
    </w:p>
    <w:p>
      <w:r>
        <w:t xml:space="preserve">§ 25 Absatz 3 Nummer 1 des Brandenburgischen Pflege- und Betreuungswohngesetzes</w:t>
      </w:r>
    </w:p>
    <w:p>
      <w:r>
        <w:t xml:space="preserve">handelt, wer vorsätzlich oder fahrlässig</w:t>
      </w:r>
    </w:p>
    <w:p>
      <w:r>
        <w:t xml:space="preserve">entgegen § 3 Absatz 5 Satz 1 oder Satz 2</w:t>
      </w:r>
    </w:p>
    <w:p>
      <w:r>
        <w:t xml:space="preserve">eine Mitteilung unterlässt,</w:t>
      </w:r>
    </w:p>
    <w:p>
      <w:r>
        <w:t xml:space="preserve">entgegen § 4 Absatz 5 Satz 2 oder Satz 3 ein</w:t>
      </w:r>
    </w:p>
    <w:p>
      <w:r>
        <w:t xml:space="preserve">Mitglied des Bewohnerschaftsrates oder eine Bewohnerin oder einen Bewohner</w:t>
      </w:r>
    </w:p>
    <w:p>
      <w:r>
        <w:t xml:space="preserve">benachteiligt oder begünstigt oder</w:t>
      </w:r>
    </w:p>
    <w:p>
      <w:r>
        <w:t xml:space="preserve">entgegen § 5 Absatz 1 die Wahl des</w:t>
      </w:r>
    </w:p>
    <w:p>
      <w:r>
        <w:t xml:space="preserve">Bewohnerschaftsrates behindert oder durch Zufügung oder Androhung von</w:t>
      </w:r>
    </w:p>
    <w:p>
      <w:r>
        <w:t xml:space="preserve">Nachteilen oder Gewährung oder Versprechen von Vorteilen beeinflusst.</w:t>
      </w:r>
    </w:p>
    <w:p>
      <w:r>
        <w:rPr>
          <w:color w:val="555555"/>
          <w:sz w:val="17"/>
        </w:rPr>
        <w:t xml:space="preserve">Zitiervorschlag: § 10 EMitwV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https://recht.nulegal.eu/gesetze/EMitwV/10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