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EMitwV (Brandenburg) — Wahrnehmung der gemeinschaftlichen Mitwirkung</w:t>
      </w:r>
    </w:p>
    <w:p>
      <w:r>
        <w:rPr>
          <w:color w:val="555555"/>
          <w:sz w:val="18"/>
        </w:rPr>
        <w:t xml:space="preserve">Einrichtungsmitwirkungsverordnung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w:t>
      </w:r>
    </w:p>
    <w:p>
      <w:r>
        <w:t xml:space="preserve">Bewohnerinnen und Bewohner von Einrichtungen nach § 4 Absatz 1 und 2 des</w:t>
      </w:r>
    </w:p>
    <w:p>
      <w:r>
        <w:t xml:space="preserve">Brandenburgischen Pflege- und Betreuungswohngesetzes wirken unmittelbar und über</w:t>
      </w:r>
    </w:p>
    <w:p>
      <w:r>
        <w:t xml:space="preserve">einen von ihnen gewählten Bewohnerschaftsrat in Fragen des gemeinschaftlichen</w:t>
      </w:r>
    </w:p>
    <w:p>
      <w:r>
        <w:t xml:space="preserve">Zusammenlebens mit. Der Bewohnerschaftsrat vertritt die Interessen der</w:t>
      </w:r>
    </w:p>
    <w:p>
      <w:r>
        <w:t xml:space="preserve">Bewohnerinnen und Bewohner gegenüber dem Leistungsanbieter und der Leitung.</w:t>
      </w:r>
    </w:p>
    <w:p>
      <w:r>
        <w:t xml:space="preserve">(2) Ein</w:t>
      </w:r>
    </w:p>
    <w:p>
      <w:r>
        <w:t xml:space="preserve">Bewohnerschaftsrat kann für einen Teil einer Einrichtung gebildet werden, wenn</w:t>
      </w:r>
    </w:p>
    <w:p>
      <w:r>
        <w:t xml:space="preserve">dadurch die gemeinschaftliche Mitwirkung besser gewährleistet wird. Auf</w:t>
      </w:r>
    </w:p>
    <w:p>
      <w:r>
        <w:t xml:space="preserve">begründeten Antrag des Leistungsanbieters kann die zuständige Behörde die</w:t>
      </w:r>
    </w:p>
    <w:p>
      <w:r>
        <w:t xml:space="preserve">Bildung eines Bewohnerschaftsrates für mehrere Einrichtungen genehmigen.</w:t>
      </w:r>
    </w:p>
    <w:p>
      <w:r>
        <w:t xml:space="preserve">(3) In</w:t>
      </w:r>
    </w:p>
    <w:p>
      <w:r>
        <w:t xml:space="preserve">Einrichtungen mit bis zu zehn Bewohnerinnen oder Bewohnern kann auf die Wahl</w:t>
      </w:r>
    </w:p>
    <w:p>
      <w:r>
        <w:t xml:space="preserve">eines Bewohnerschaftsrates verzichtet werden, wenn alle Bewohnerinnen und</w:t>
      </w:r>
    </w:p>
    <w:p>
      <w:r>
        <w:t xml:space="preserve">Bewohner die gemeinschaftliche Mitwirkung gemeinsam wahrnehmen. In diesem Fall</w:t>
      </w:r>
    </w:p>
    <w:p>
      <w:r>
        <w:t xml:space="preserve">haben die Bewohnerinnen und Bewohner dieselben Aufgaben und Rechte wie ein</w:t>
      </w:r>
    </w:p>
    <w:p>
      <w:r>
        <w:t xml:space="preserve">Bewohnerschaftsrat.</w:t>
      </w:r>
    </w:p>
    <w:p>
      <w:r>
        <w:t xml:space="preserve">(4) Auf die Bildung eines Bewohnerschaftsrates kann verzichtet werden, wenn dies durch Umstände, die vom Leistungsanbieter nicht zu vertreten sind, nicht möglich ist. In diesem Fall hat der Leistungsanbieter Maßnahmen nach dem allgemein anerkannten Stand sozialpädagogischer Erkenntnisse zur Sicherung der gemeinschaftlichen Mitwirkungsrechte anzuwenden.</w:t>
      </w:r>
    </w:p>
    <w:p>
      <w:r>
        <w:rPr>
          <w:color w:val="555555"/>
          <w:sz w:val="17"/>
        </w:rPr>
        <w:t xml:space="preserve">Zitiervorschlag: § 1 EMitwV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https://recht.nulegal.eu/gesetze/EMitwV/1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