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EMVO (Sachsen) — Sitzungen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Klassenelternversammlung tagt nicht öffentlich.</w:t>
      </w:r>
    </w:p>
    <w:p>
      <w:r>
        <w:t xml:space="preserve">(2) Die Klassenelternsprecherin oder der Klassenelternsprecher lädt zu den Sitzungen der Klassenelternversammlung ein, bereitet sie vor und leitet sie.</w:t>
      </w:r>
    </w:p>
    <w:p>
      <w:r>
        <w:t xml:space="preserve">(3) Hält die Klassenelternsprecherin oder der Klassenelternsprecher die Teilnahme von Lehrkräften der Klasse für erforderlich, lädt sie oder er diese mit gleicher Frist wie die Eltern unter Mitteilung der Tagesordnung ein.</w:t>
      </w:r>
    </w:p>
    <w:p>
      <w:r>
        <w:t xml:space="preserve">(4) Die Klassenelternversammlung kann weitere Personen ohne Stimmrecht zu Sitzungen einladen.</w:t>
      </w:r>
    </w:p>
    <w:p>
      <w:r>
        <w:rPr>
          <w:color w:val="555555"/>
          <w:sz w:val="17"/>
        </w:rPr>
        <w:t xml:space="preserve">Zitiervorschlag: § 9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