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EMVO (Sachsen) — Wahlordnung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Elternrat kann durch Wahlordnung nähere Regelungen erlassen über:</w:t>
      </w:r>
    </w:p>
    <w:p>
      <w:r>
        <w:t xml:space="preserve">1. die Dauer der Amtszeit der Klassenelternsprecherinnen und Klassenelternsprecher sowie deren Stellvertreterinnen und Stellvertreter, die höchstens auf zwei Schuljahre festgelegt werden darf,</w:t>
      </w:r>
    </w:p>
    <w:p>
      <w:r>
        <w:t xml:space="preserve">2. die Form der Einladung, wobei bestimmt werden kann, dass die Einladung über die Schülerinnen und Schüler erfolgt,</w:t>
      </w:r>
    </w:p>
    <w:p>
      <w:r>
        <w:t xml:space="preserve">3. die Neuwahl, die zu erfolgen hat, wenn die Klassenelternsprecherin, der Klassenelternsprecher, deren oder dessen Stellvertreterin oder deren oder dessen Stellvertreter vor Ablauf der Amtszeit aus ihren Ämtern ausscheiden,</w:t>
      </w:r>
    </w:p>
    <w:p>
      <w:r>
        <w:t xml:space="preserve">4. das Verfahren für die Einsprüche gegen die Wahl.</w:t>
      </w:r>
    </w:p>
    <w:p>
      <w:r>
        <w:rPr>
          <w:color w:val="555555"/>
          <w:sz w:val="17"/>
        </w:rPr>
        <w:t xml:space="preserve">Zitiervorschlag: § 8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