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EMVO (Sachsen) — Informationsrecht</w:t>
      </w:r>
    </w:p>
    <w:p>
      <w:r>
        <w:rPr>
          <w:color w:val="555555"/>
          <w:sz w:val="18"/>
        </w:rPr>
        <w:t xml:space="preserve">Elternmitwirkungsverordnung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oberste Schulaufsichtsbehörde unterrichtet den Landeselternrat über alle grundsätzlichen, die Schulen des Landes gemeinsam interessierende Fragen und ist verpflichtet, ihm die notwendigen Auskünfte zu erteilen.</w:t>
      </w:r>
    </w:p>
    <w:p>
      <w:r>
        <w:rPr>
          <w:color w:val="555555"/>
          <w:sz w:val="17"/>
        </w:rPr>
        <w:t xml:space="preserve">Zitiervorschlag: § 30 EMVO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https://recht.nulegal.eu/gesetze/EMVO/30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