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EMVO (Sachsen) — Sitzungen und Ausschüsse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oder der Vorsitzende des Landeselternrates lädt zu den Sitzungen ein, bereitet sie vor und leitet sie. § 14 Absatz 1 Satz 2 sowie Absatz 2 Satz 2 und 3 gilt entsprechend.</w:t>
      </w:r>
    </w:p>
    <w:p>
      <w:r>
        <w:t xml:space="preserve">(2) Der Landeselternrat kann weitere Personen ohne Stimmrecht zu Sitzungen hinzuziehen.</w:t>
      </w:r>
    </w:p>
    <w:p>
      <w:r>
        <w:t xml:space="preserve">(3) Mitarbeiterinnen und Mitarbeiter der obersten Schulaufsichtsbehörde können auf Einladung der oder des Vorsitzenden an den Sitzungen teilnehmen.</w:t>
      </w:r>
    </w:p>
    <w:p>
      <w:r>
        <w:t xml:space="preserve">(4) Der Landeselternrat kann Ausschüsse bilden.</w:t>
      </w:r>
    </w:p>
    <w:p>
      <w:r>
        <w:rPr>
          <w:color w:val="555555"/>
          <w:sz w:val="17"/>
        </w:rPr>
        <w:t xml:space="preserve">Zitiervorschlag: § 29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