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EMVO (Sachsen) — Geschäftsordnung</w:t>
      </w:r>
    </w:p>
    <w:p>
      <w:r>
        <w:rPr>
          <w:color w:val="555555"/>
          <w:sz w:val="18"/>
        </w:rPr>
        <w:t xml:space="preserve">Elternmitwirkungsverordnung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Landeselternrat gibt sich eine Geschäftsordnung. Diese regelt insbesondere das Nähere über:</w:t>
      </w:r>
    </w:p>
    <w:p>
      <w:r>
        <w:t xml:space="preserve">1. das Verfahren der Wahl der oder des Vorsitzenden und deren oder dessen Stellvertreterin oder Stellvertreters und der gemäß § 49 Absatz 3 des Sächsischen Schulgesetzes für den Landesbildungsrat vorzuschlagenden Vertreterinnen und Vertreter,</w:t>
      </w:r>
    </w:p>
    <w:p>
      <w:r>
        <w:t xml:space="preserve">2. die Form und die Frist der Einladungen,</w:t>
      </w:r>
    </w:p>
    <w:p>
      <w:r>
        <w:t xml:space="preserve">3. die Neuwahl, die zu erfolgen hat, wenn die oder der Vorsitzende oder deren oder dessen Stellvertreterin oder Stellvertreter vor Ablauf ihrer Amtszeit aus ihren Ämtern ausscheiden,</w:t>
      </w:r>
    </w:p>
    <w:p>
      <w:r>
        <w:t xml:space="preserve">4. das Verfahren der Abstimmung, insbesondere darüber, ob offen oder geheim abzustimmen oder ob eine Abstimmung im Wege der schriftlichen Umfrage zulässig ist,</w:t>
      </w:r>
    </w:p>
    <w:p>
      <w:r>
        <w:t xml:space="preserve">5. die Voraussetzungen, unter denen die oder der Vorsitzende verpflichtet ist, den Landeselternrat einzuberufen,</w:t>
      </w:r>
    </w:p>
    <w:p>
      <w:r>
        <w:t xml:space="preserve">6. die Beschlussfähigkeit des Landeselternrates,</w:t>
      </w:r>
    </w:p>
    <w:p>
      <w:r>
        <w:t xml:space="preserve">7. die Form und die Häufigkeit der Berichtspflicht.</w:t>
      </w:r>
    </w:p>
    <w:p>
      <w:r>
        <w:rPr>
          <w:color w:val="555555"/>
          <w:sz w:val="17"/>
        </w:rPr>
        <w:t xml:space="preserve">Zitiervorschlag: § 28 EMVO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https://recht.nulegal.eu/gesetze/EMVO/28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