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EMVO (Sachsen) — Wahlordnung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Landeselternrat gibt sich eine Wahlordnung, die das Nähere regelt über</w:t>
      </w:r>
    </w:p>
    <w:p>
      <w:r>
        <w:t xml:space="preserve">1. die Form und die Frist der Einladungen,</w:t>
      </w:r>
    </w:p>
    <w:p>
      <w:r>
        <w:t xml:space="preserve">2. die Bildung von Wahlausschüssen, das Wahlverfahren und seine Durchführung,</w:t>
      </w:r>
    </w:p>
    <w:p>
      <w:r>
        <w:t xml:space="preserve">3. das Verfahren über Einsprüche gegen die Wahlen.</w:t>
      </w:r>
    </w:p>
    <w:p>
      <w:r>
        <w:rPr>
          <w:color w:val="555555"/>
          <w:sz w:val="17"/>
        </w:rPr>
        <w:t xml:space="preserve">Zitiervorschlag: § 25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