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EMVO (Sachsen) — Wahlanfechtung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Einsprüche gegen die Wahl entscheidet der Landeselternrat.</w:t>
      </w:r>
    </w:p>
    <w:p>
      <w:r>
        <w:t xml:space="preserve">(2) Die Wahl kann nicht deshalb angefochten werden, weil sie später als bis zum Ablauf der fünfzehnten Unterrichtswoche nach Schuljahresbeginn durchgeführt wurde.</w:t>
      </w:r>
    </w:p>
    <w:p>
      <w:r>
        <w:rPr>
          <w:color w:val="555555"/>
          <w:sz w:val="17"/>
        </w:rPr>
        <w:t xml:space="preserve">Zitiervorschlag: § 24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