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EMVO (Sachsen) — Sitzungen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oder der Vorsitzende des Kreiselternrates lädt zu den Sitzungen des Kreiselternrates ein, bereitet sie vor und leitet sie. § 14 Absatz 1 Satz 2 sowie Absatz 2 Satz 2 und 3 gilt entsprechend.</w:t>
      </w:r>
    </w:p>
    <w:p>
      <w:r>
        <w:t xml:space="preserve">(2) Der Kreiselternrat kann weitere Personen ohne Stimmrecht zu Sitzungen einladen.</w:t>
      </w:r>
    </w:p>
    <w:p>
      <w:r>
        <w:t xml:space="preserve">(3) In regelmäßigen Abständen, aber mindestens einmal im Schulhalbjahr, findet eine gemeinsame Sitzung des Kreiselternrates und der Schulaufsichtsbehörde statt.</w:t>
      </w:r>
    </w:p>
    <w:p>
      <w:r>
        <w:rPr>
          <w:color w:val="555555"/>
          <w:sz w:val="17"/>
        </w:rPr>
        <w:t xml:space="preserve">Zitiervorschlag: § 18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