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EMVG-FuAG-BGebV — (zu § 2 i. V. m. § 1 Nummer 3)Gebührenverzeichnis nach der Konformitätsbewertungsstellen-Anerkennungs-Verordnung</w:t>
      </w:r>
    </w:p>
    <w:p>
      <w:r>
        <w:rPr>
          <w:color w:val="555555"/>
          <w:sz w:val="18"/>
        </w:rPr>
        <w:t xml:space="preserve">Besondere Gebührenverordnung des Bundesministeriums für Wirtschaft und Energie für den Bereich des Elektromagnetische-Verträglichkeit-Gesetzes und des Funkanlagengesetzes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(Fundstelle: BGBl. I 2017, 3578)</w:t>
      </w:r>
    </w:p>
    <w:p>
      <w:r>
        <w:rPr>
          <w:rFonts w:ascii="Courier New" w:hAnsi="Courier New"/>
          <w:sz w:val="17"/>
        </w:rPr>
        <w:t xml:space="preserve">Nr.    Gebührentatbestand    Höhe der Gebühr (in Euro)</w:t>
      </w:r>
    </w:p>
    <w:p>
      <w:r>
        <w:rPr>
          <w:rFonts w:ascii="Courier New" w:hAnsi="Courier New"/>
          <w:sz w:val="17"/>
        </w:rPr>
        <w:t xml:space="preserve">1    Verwaltungsmäßige Bearbeitung des Antrags auf Anerkennung als notifizierte Stelle nach § 10 oder § 12 AnerkV oder auf Anerkennung als Konformitätsbewertungsstelle für Drittstaaten nach § 11 oder § 13 AnerkV    1 000</w:t>
      </w:r>
    </w:p>
    <w:p>
      <w:r>
        <w:rPr>
          <w:rFonts w:ascii="Courier New" w:hAnsi="Courier New"/>
          <w:sz w:val="17"/>
        </w:rPr>
        <w:t xml:space="preserve">2    Antragstellung nach § 3 Absatz 2 i. V. m. § 10 oder § 12 AnerkV (zusätzlich zu den Gebühren nach Nummer 1)</w:t>
      </w:r>
    </w:p>
    <w:p>
      <w:r>
        <w:rPr>
          <w:rFonts w:ascii="Courier New" w:hAnsi="Courier New"/>
          <w:sz w:val="17"/>
        </w:rPr>
        <w:t xml:space="preserve">2.1    Prüfung der nach § 3 Absatz 2 Nummer 1 i. V. m. § 10 oder § 12 AnerkV vorgelegten Beschreibung des beantragten Konformitätsbewertungsbereiches und Einhaltung der grundlegenden Anforderungen der jeweiligen Richtlinie    500 bis 2 500</w:t>
      </w:r>
    </w:p>
    <w:p>
      <w:r>
        <w:rPr>
          <w:rFonts w:ascii="Courier New" w:hAnsi="Courier New"/>
          <w:sz w:val="17"/>
        </w:rPr>
        <w:t xml:space="preserve">2.2    Prüfung der nach § 3 Absatz 2 Nummer 2 i. V. m. § 10 oder § 12 AnerkV vorgelegten Akkreditierungsurkunde der Deutschen Akkreditierungsstelle GmbH (DAkkS) auf Plausibilität und Vollständigkeit    500 bis 2 000</w:t>
      </w:r>
    </w:p>
    <w:p>
      <w:r>
        <w:rPr>
          <w:rFonts w:ascii="Courier New" w:hAnsi="Courier New"/>
          <w:sz w:val="17"/>
        </w:rPr>
        <w:t xml:space="preserve">2.3    Regelmäßige Überprüfung der allgemeinen Anforderungen an die notifizierte Stelle nach § 4 Absatz 7 i. V. m. § 10 oder § 12 AnerkV    500 bis 1 500</w:t>
      </w:r>
    </w:p>
    <w:p>
      <w:r>
        <w:rPr>
          <w:rFonts w:ascii="Courier New" w:hAnsi="Courier New"/>
          <w:sz w:val="17"/>
        </w:rPr>
        <w:t xml:space="preserve">3    Antragstellung nach § 3 Absatz 3 i. V. m. § 10, § 11, § 12 oder § 13 AnerkV (zusätzlich zu den Gebühren nach Nummer 1)</w:t>
      </w:r>
    </w:p>
    <w:p>
      <w:r>
        <w:rPr>
          <w:rFonts w:ascii="Courier New" w:hAnsi="Courier New"/>
          <w:sz w:val="17"/>
        </w:rPr>
        <w:t xml:space="preserve">3.1    Prüfung der nach § 3 Absatz 2 Nummer 1 i. V. m. § 10 oder § 12 AnerkV vorgelegten Beschreibung des beantragten Konformitätsbewertungsbereiches    500 bis 2 500</w:t>
      </w:r>
    </w:p>
    <w:p>
      <w:r>
        <w:rPr>
          <w:rFonts w:ascii="Courier New" w:hAnsi="Courier New"/>
          <w:sz w:val="17"/>
        </w:rPr>
        <w:t xml:space="preserve">3.2    Überprüfung der Einhaltung der formalen Anforderungen zur Anerkennung als notifizierte Stelle nach § 3 Absatz 3 i. V. m. § 10, § 11, § 12 oder § 13 AnerkV    1 500 bis 7 500</w:t>
      </w:r>
    </w:p>
    <w:p>
      <w:r>
        <w:rPr>
          <w:rFonts w:ascii="Courier New" w:hAnsi="Courier New"/>
          <w:sz w:val="17"/>
        </w:rPr>
        <w:t xml:space="preserve">3.3    Überprüfung der fachlichen Anforderungen und der Kompetenz des Personals durch interne Begutachter mittels Fachgesprächen vor Ort nach § 3 Absatz 3 i. V. m. § 10, § 11, § 12 oder § 13 AnerkV pro Person und Tag    500</w:t>
      </w:r>
    </w:p>
    <w:p>
      <w:r>
        <w:rPr>
          <w:rFonts w:ascii="Courier New" w:hAnsi="Courier New"/>
          <w:sz w:val="17"/>
        </w:rPr>
        <w:t xml:space="preserve">3.4    Fachliche Prüfung von durchgeführten oder fiktiven Konformitätsbewertungen durch externe Begutachter vor Ort nach § 3 Absatz 3 i. V. m. § 10, § 11, § 12 oder § 13 AnerkV pro Person und Tag (zusätzlich zu der Gebühr nach Nummer 3.2)    800 bis 5 000</w:t>
      </w:r>
    </w:p>
    <w:p>
      <w:r>
        <w:rPr>
          <w:rFonts w:ascii="Courier New" w:hAnsi="Courier New"/>
          <w:sz w:val="17"/>
        </w:rPr>
        <w:t xml:space="preserve">3.5    Regelmäßige Überprüfung der allgemeinen Anforderungen an die notifizierte Stelle oder Konformitätsbewertungsstelle für Drittstaaten nach § 4 Absatz 7 i. V. m. § 10, § 11, § 12 oder § 13 AnerkV    1 000 bis 3 000</w:t>
      </w:r>
    </w:p>
    <w:p>
      <w:r>
        <w:rPr>
          <w:rFonts w:ascii="Courier New" w:hAnsi="Courier New"/>
          <w:sz w:val="17"/>
        </w:rPr>
        <w:t xml:space="preserve">4    Erstellung eines Bescheids nach § 4 Absatz 1 AnerkV (zusätzlich zu der Gebühr nach Nummer 1)    250</w:t>
      </w:r>
    </w:p>
    <w:p>
      <w:r>
        <w:rPr>
          <w:rFonts w:ascii="Courier New" w:hAnsi="Courier New"/>
          <w:sz w:val="17"/>
        </w:rPr>
        <w:t xml:space="preserve">5    Anlassbezogene Überprüfung der Anforderungen nach § 2 Absatz 4 AnerkV (zusätzlich zu den Gebühren nach Nummer 2 oder Nummer 3)    1 500 bis 4 500</w:t>
      </w:r>
    </w:p>
    <w:p>
      <w:r>
        <w:rPr>
          <w:color w:val="555555"/>
          <w:sz w:val="17"/>
        </w:rPr>
        <w:t xml:space="preserve">Zitiervorschlag: Anlage 2 EMVG-FuAG-BGebV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https://recht.nulegal.eu/gesetze/EMVG-FuAG-BGebV/anlage-2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