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EMVG-FuAG-BGebV — Gebührenbefreiung</w:t>
      </w:r>
    </w:p>
    <w:p>
      <w:r>
        <w:rPr>
          <w:color w:val="555555"/>
          <w:sz w:val="18"/>
        </w:rPr>
        <w:t xml:space="preserve">Besondere Gebührenverordnung des Bundesministeriums für Wirtschaft und Energie für den Bereich des Elektromagnetische-Verträglichkeit-Gesetzes und des Funkanlagengesetzes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Gebühren für Maßnahmen nach Anlage 1 Nummer 5 oder nach Anlage 4 werden nicht erhoben, wenn ein Betriebsmittel unverschuldet entgegen den Vorschriften des Elektromagnetische-Verträglichkeit-Gesetzes oder entgegen den Vorschriften der Sicherheitsfunk-Schutzverordnung betrieben wird.</w:t>
      </w:r>
    </w:p>
    <w:p>
      <w:r>
        <w:rPr>
          <w:color w:val="555555"/>
          <w:sz w:val="17"/>
        </w:rPr>
        <w:t xml:space="preserve">Zitiervorschlag: § 3 EMVG-FuAG-BGebV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https://recht.nulegal.eu/gesetze/EMVG-FuAG-BGebV/3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