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EMVG 2016 — Besondere Anforderungen an die Installation ortsfester Anlagen</w:t>
      </w:r>
    </w:p>
    <w:p>
      <w:r>
        <w:rPr>
          <w:color w:val="555555"/>
          <w:sz w:val="18"/>
        </w:rPr>
        <w:t xml:space="preserve">Elektromagnetische-Verträglichkeit-Gesetz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Ortsfeste Anlagen müssen zusätzlich zu den Anforderungen des § 4 nach den allgemein anerkannten Regeln der Technik installiert werden.</w:t>
      </w:r>
    </w:p>
    <w:p>
      <w:r>
        <w:rPr>
          <w:color w:val="555555"/>
          <w:sz w:val="17"/>
        </w:rPr>
        <w:t xml:space="preserve">Zitiervorschlag: § 5 EMVG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https://recht.nulegal.eu/gesetze/EMVG%202016/5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