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EMVG 2016 — Grundlegende Anforderungen an die elektromagnetische Verträglichkeit</w:t>
      </w:r>
    </w:p>
    <w:p>
      <w:r>
        <w:rPr>
          <w:color w:val="555555"/>
          <w:sz w:val="18"/>
        </w:rPr>
        <w:t xml:space="preserve">Elektromagnetische-Verträglichkeit-Gesetz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Betriebsmittel müssen nach dem Stand der Technik so entworfen und hergestellt sein, dass</w:t>
      </w:r>
    </w:p>
    <w:p>
      <w:pPr>
        <w:ind w:left="420"/>
      </w:pPr>
      <w:r>
        <w:t xml:space="preserve">1. die von ihnen verursachten elektromagnetischen Störungen keinen Pegel erreichen, bei dem ein bestimmungsgemäßer Betrieb von Funk- und Telekommunikationsgeräten oder anderen Betriebsmitteln nicht möglich ist;</w:t>
      </w:r>
    </w:p>
    <w:p>
      <w:pPr>
        <w:ind w:left="420"/>
      </w:pPr>
      <w:r>
        <w:t xml:space="preserve">2. sie gegen die bei bestimmungsgemäßem Betrieb zu erwartenden elektromagnetischen Störungen hinreichend unempfindlich sind, um ohne unzumutbare Beeinträchtigung bestimmungsgemäß arbeiten zu können.</w:t>
      </w:r>
    </w:p>
    <w:p>
      <w:r>
        <w:rPr>
          <w:color w:val="555555"/>
          <w:sz w:val="17"/>
        </w:rPr>
        <w:t xml:space="preserve">Zitiervorschlag: § 4 EMVG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https://recht.nulegal.eu/gesetze/EMVG%202016/4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