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EMVG 2016 — Übergangsbestimmungen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Geräte, die den Bestimmungen des Gesetzes über die elektromagnetische Verträglichkeit von Betriebsmitteln vom 26. Februar 2008 (BGBl. I S. 220), das zuletzt durch Artikel 626 Absatz 9 der Verordnung vom 31. August 2015 (BGBl. I S. 1474) geändert worden ist, diese wiederum geändert durch Artikel 5 Absatz 9 des Gesetzes vom 18. Juli 2016 (BGBl. I S. 1666), entsprechen und vor dem 20. April 2016 in Verkehr gebracht oder in Betrieb genommen wurden, dürfen weiter auf dem Markt bereitgestellt und/oder in Betrieb genommen werden.</w:t>
      </w:r>
    </w:p>
    <w:p>
      <w:r>
        <w:t xml:space="preserve">(2) Ortsfeste Anlagen dürfen so lange weiter betrieben werden, wie ihr Standort unverändert bleibt. Änderungen müssen gemäß § 20 Absatz 1 Satz 2 und 3 dokumentiert werden.</w:t>
      </w:r>
    </w:p>
    <w:p>
      <w:r>
        <w:rPr>
          <w:color w:val="555555"/>
          <w:sz w:val="17"/>
        </w:rPr>
        <w:t xml:space="preserve">Zitiervorschlag: § 34 EMVG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