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EMVG 2016 — Bußgeldvorschriften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 Absatz 1 nicht sicherstellt, dass ein Gerät nach einer dort genannten Anforderung entworfen und hergestellt wurde,</w:t>
      </w:r>
    </w:p>
    <w:p>
      <w:pPr>
        <w:ind w:left="420"/>
      </w:pPr>
      <w:r>
        <w:t xml:space="preserve">2. entgegen § 8 Absatz 2 Satz 1 ein Gerät in Verkehr bringt,</w:t>
      </w:r>
    </w:p>
    <w:p>
      <w:pPr>
        <w:ind w:left="420"/>
      </w:pPr>
      <w:r>
        <w:t xml:space="preserve">3. entgegen § 8 Absatz 3, auch in Verbindung mit § 10 Absatz 3 Nummer 1, oder entgegen § 12 Absatz 2 eine technische Unterlage, die EU-Konformitätserklärung oder eine dort genannte Kopie nicht oder nicht mindestens zehn Jahre bereithält,</w:t>
      </w:r>
    </w:p>
    <w:p>
      <w:pPr>
        <w:ind w:left="420"/>
      </w:pPr>
      <w:r>
        <w:t xml:space="preserve">4. entgegen § 9 Absatz 1, nicht dafür Sorge trägt, dass ein Gerät eine dort genannte Information trägt oder dass eine dort genannte Information angegeben wird,</w:t>
      </w:r>
    </w:p>
    <w:p>
      <w:pPr>
        <w:ind w:left="420"/>
      </w:pPr>
      <w:r>
        <w:t xml:space="preserve">5. entgegen § 9 Absatz 2 Satz 1 oder 2 oder § 12 Absatz 1 Satz 1 oder 2 eine Angabe nicht, nicht richtig, nicht vollständig oder nicht rechtzeitig macht,</w:t>
      </w:r>
    </w:p>
    <w:p>
      <w:pPr>
        <w:ind w:left="420"/>
      </w:pPr>
      <w:r>
        <w:t xml:space="preserve">6. entgegen § 9 Absatz 3 nicht sicherstellt, dass einem Gerät eine dort genannte Information beigefügt ist,</w:t>
      </w:r>
    </w:p>
    <w:p>
      <w:pPr>
        <w:ind w:left="420"/>
      </w:pPr>
      <w:r>
        <w:t xml:space="preserve">7. entgegen § 9 Absatz 4 Satz 1, auch in Verbindung mit § 10 Absatz 3 Nummer 2, entgegen § 12 Absatz 3 Satz 1 oder § 13 Absatz 5 Satz 1 eine Information oder eine Unterlage nicht, nicht richtig, nicht vollständig, nicht in der vorgeschriebenen Weise oder nicht rechtzeitig zur Verfügung stellt,</w:t>
      </w:r>
    </w:p>
    <w:p>
      <w:pPr>
        <w:ind w:left="420"/>
      </w:pPr>
      <w:r>
        <w:t xml:space="preserve">8. entgegen § 9 Absatz 4 Satz 3, auch in Verbindung mit § 10 Absatz 3 Nummer 3, entgegen § 12 Absatz 3 Satz 3 oder § 13 Absatz 5 Satz 3 bei einer Maßnahme nicht, nicht richtig oder nicht rechtzeitig mitwirkt,</w:t>
      </w:r>
    </w:p>
    <w:p>
      <w:pPr>
        <w:ind w:left="420"/>
      </w:pPr>
      <w:r>
        <w:t xml:space="preserve">9. entgegen § 11 Absatz 2 ein Gerät in Verkehr bringt,</w:t>
      </w:r>
    </w:p>
    <w:p>
      <w:pPr>
        <w:ind w:left="420"/>
      </w:pPr>
      <w:r>
        <w:t xml:space="preserve">10. entgegen § 13 Absatz 1 ein Gerät auf dem Markt bereitstellt,</w:t>
      </w:r>
    </w:p>
    <w:p>
      <w:pPr>
        <w:ind w:left="420"/>
      </w:pPr>
      <w:r>
        <w:t xml:space="preserve">11. entgegen § 15 Absatz 1 einen Wirtschaftsakteur nicht, nicht richtig oder nicht rechtzeitig nennt,</w:t>
      </w:r>
    </w:p>
    <w:p>
      <w:pPr>
        <w:ind w:left="420"/>
      </w:pPr>
      <w:r>
        <w:t xml:space="preserve">12. entgegen § 20 Absatz 1 Satz 2 eine technische Dokumentation nicht oder nicht für die vorgeschriebene Dauer bereithält oder</w:t>
      </w:r>
    </w:p>
    <w:p>
      <w:pPr>
        <w:ind w:left="420"/>
      </w:pPr>
      <w:r>
        <w:t xml:space="preserve">13. einer vollziehbaren Anordnung nach § 29 Absatz 1 Satz 1 zuwiderhandelt.</w:t>
      </w:r>
    </w:p>
    <w:p>
      <w:r>
        <w:t xml:space="preserve">(2) Die Ordnungswidrigkeit kann in den Fällen des Absatzes 1 Nummer 1 und 2 mit einer Geldbuße bis zu hunderttausend Euro, in den übrigen Fällen mit einer Geldbuße bis zu zehntausend Euro geahndet werden.</w:t>
      </w:r>
    </w:p>
    <w:p>
      <w:r>
        <w:t xml:space="preserve">(3) Geräte, auf die sich eine Ordnungswidrigkeit nach Absatz 1 Nummer 1, 9 oder 10 bezieht, können eingezogen werden.</w:t>
      </w:r>
    </w:p>
    <w:p>
      <w:r>
        <w:t xml:space="preserve">(4) Verwaltungsbehörde im Sinne des § 36 Absatz 1 Nummer 1 des Gesetzes über Ordnungswidrigkeiten ist die Bundesnetzagentur.</w:t>
      </w:r>
    </w:p>
    <w:p>
      <w:r>
        <w:rPr>
          <w:color w:val="555555"/>
          <w:sz w:val="17"/>
        </w:rPr>
        <w:t xml:space="preserve">Zitiervorschlag: § 33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