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EMVG 2016 — Vorverfahren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Widerspruch und Klage gegen Entscheidungen der Bundesnetzagentur haben keine aufschiebende Wirkung.</w:t>
      </w:r>
    </w:p>
    <w:p>
      <w:r>
        <w:t xml:space="preserve">(2) Die Kosten des Vorverfahrens richten sich nach § 226 des Telekommunikationsgesetzes.</w:t>
      </w:r>
    </w:p>
    <w:p>
      <w:r>
        <w:rPr>
          <w:color w:val="555555"/>
          <w:sz w:val="17"/>
        </w:rPr>
        <w:t xml:space="preserve">Zitiervorschlag: § 32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