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23a EMVG 2016 — Maßnahmen auf Messen und Ausstellungen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Stellt die Bundesnetzagentur fest, dass ein Betriebsmittel, das auf Messen, Ausstellungen oder ähnlichen Veranstaltungen aufgestellt ist oder vorgeführt wird, die Anforderungen des § 7 Absatz 2 nicht erfüllt, so fordert sie unverzüglich den ausstellenden Wirtschaftsakteur auf, alle geeigneten Maßnahmen zu ergreifen, um die Übereinstimmung des Betriebsmittels mit den Anforderungen herzustellen.</w:t>
      </w:r>
    </w:p>
    <w:p>
      <w:r>
        <w:t xml:space="preserve">(2) Ergreift der Aussteller keine geeigneten Korrekturmaßnahmen, so veranlasst die Bundesnetzagentur die Außerbetriebnahme des Betriebsmittels.</w:t>
      </w:r>
    </w:p>
    <w:p>
      <w:r>
        <w:rPr>
          <w:color w:val="555555"/>
          <w:sz w:val="17"/>
        </w:rPr>
        <w:t xml:space="preserve">Zitiervorschlag: § 23a EMVG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https://recht.nulegal.eu/gesetze/EMVG%202016/23a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