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21b EMVG 2016 — Konformitätsvermutung im Notfallmodus für den Binnenmarkt</w:t>
      </w:r>
    </w:p>
    <w:p>
      <w:r>
        <w:rPr>
          <w:color w:val="555555"/>
          <w:sz w:val="18"/>
        </w:rPr>
        <w:t xml:space="preserve">Elektromagnetische-Verträglichkeit-Gesetz</w:t>
      </w:r>
    </w:p>
    <w:p>
      <w:r>
        <w:rPr>
          <w:color w:val="555555"/>
          <w:sz w:val="18"/>
        </w:rPr>
        <w:t xml:space="preserve">Stand: 24.07.2026 (konsolidierte Textfassung, kein amtliches Inkrafttretensdatum)</w:t>
      </w:r>
    </w:p>
    <w:p>
      <w:r>
        <w:t xml:space="preserve">(1) Bei Geräten, die mit den Normen oder gemeinsamen Spezifikationen oder Teilen davon übereinstimmen, die die Kommission im Wege eines Durchführungsrechtsaktes nach Artikel 40b Absatz 1 der Richtlinie 2014/30/EU festgelegt hat, wird widerleglich vermutet, dass das Gerät insoweit mit den entsprechenden grundlegenden Anforderungen nach § 4 übereinstimmt. Ab dem Tag, der auf das Auslaufen oder die Deaktivierung des Notfallmodus für den Binnenmarkt folgt, können sich Hersteller auf die Konformitätsvermutung nach Satz 1 nicht mehr berufen. Die Konformitätsvermutung nach § 16 bleibt unberührt.</w:t>
      </w:r>
    </w:p>
    <w:p>
      <w:r>
        <w:t xml:space="preserve">(2) Geräte, die während des Notfallmodus für den Binnenmarkt in Verkehr gebracht wurden und den im Durchführungsrechtsakt nach Absatz 1 Satz 1 genannten Normen oder gemeinsamen Spezifikationen entsprechen, gelten auch nach dessen Außerkrafttreten oder Aufhebung und nach dem Auslaufen oder der Deaktivierung des Notfallmodus für den Binnenmarkt als mit den in § 4 festgelegten grundlegenden Anforderungen konform, sofern kein hinreichender Grund zu der Annahme besteht, dass diese Geräte eine Gefahr für die Gesundheit oder Sicherheit von Personen darstellen.</w:t>
      </w:r>
    </w:p>
    <w:p>
      <w:r>
        <w:t xml:space="preserve">(3) Ist die Bundesnetzagentur der Auffassung, dass eine im Durchführungsrechtsakt nach Absatz 1 genannte Norm oder gemeinsame Spezifikation den in § 4 festgelegten grundlegenden Anforderungen nicht oder nicht in vollem Umfang entspricht, hat sie die Europäische Kommission unverzüglich darüber zu unterrichten.</w:t>
      </w:r>
    </w:p>
    <w:p>
      <w:r>
        <w:rPr>
          <w:color w:val="555555"/>
          <w:sz w:val="17"/>
        </w:rPr>
        <w:t xml:space="preserve">Zitiervorschlag: § 21b EMVG 2016</w:t>
      </w:r>
    </w:p>
    <w:p>
      <w:r>
        <w:rPr>
          <w:color w:val="555555"/>
          <w:sz w:val="17"/>
        </w:rPr>
        <w:t xml:space="preserve">Quelle: Bundesamt für Justiz, abgerufen 24.07.2026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https://recht.nulegal.eu/gesetze/EMVG%202016/21b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