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EMVG 2016 — Einschränkungen des Anwendungsbereichs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Auf Geräte im Sinne des Funkanlagengesetzes vom 27. Juni 2017 (BGBl. I S. 1947) sind nur die §§ 27 und 30 dieses Gesetzes entsprechend anzuwenden.</w:t>
      </w:r>
    </w:p>
    <w:p>
      <w:r>
        <w:t xml:space="preserve">(2) Auf Funkgeräte und Bausätze, die von Funkamateuren nach § 2 Nummer 1 des Amateurfunkgesetzes zusammengebaut werden, und handelsübliche Geräte, die von Funkamateuren zur Nutzung durch Funkamateure umgebaut werden, finden nur die §§ 27 bis 32 entsprechende Anwendung. Werden Betriebsmittel im Sinne des § 1 jedoch auf dem Markt bereitgestellt, findet dieses Gesetz insgesamt Anwendung.</w:t>
      </w:r>
    </w:p>
    <w:p>
      <w:r>
        <w:t xml:space="preserve">(3) Auf folgende Betriebsmittel finden nur die §§ 27 bis 30 dieses Gesetzes entsprechende Anwendung:</w:t>
      </w:r>
    </w:p>
    <w:p>
      <w:pPr>
        <w:ind w:left="420"/>
      </w:pPr>
      <w:r>
        <w:t xml:space="preserve">1. luftfahrttechnische Erzeugnisse, Teile und Ausrüstungen nach der 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(ABl. L 79 vom 19.3.2008, S. 1),</w:t>
      </w:r>
    </w:p>
    <w:p>
      <w:pPr>
        <w:ind w:left="420"/>
      </w:pPr>
      <w:r>
        <w:t xml:space="preserve">2. Betriebsmittel, die</w:t>
      </w:r>
    </w:p>
    <w:p>
      <w:pPr>
        <w:ind w:left="780"/>
      </w:pPr>
      <w:r>
        <w:t xml:space="preserve">a) aufgrund ihrer physikalischen Eigenschaften eine so niedrige elektromagnetische Emission haben oder in so geringem Umfang zur elektromagnetischen Emission beitragen, dass ein bestimmungsgemäßer Betrieb von Funk- und Telekommunikationsgeräten und sonstigen Betriebsmitteln in ihrer Umgebung möglich ist, und</w:t>
      </w:r>
    </w:p>
    <w:p>
      <w:pPr>
        <w:ind w:left="780"/>
      </w:pPr>
      <w:r>
        <w:t xml:space="preserve">b) unter Einfluss der bei ihrem Einsatz üblichen elektromagnetischen Störungen ohne unzumutbare Beeinträchtigung betrieben werden können,</w:t>
      </w:r>
    </w:p>
    <w:p>
      <w:pPr>
        <w:ind w:left="420"/>
      </w:pPr>
      <w:r>
        <w:t xml:space="preserve">3. kunden- und anwendungsspezifisch angefertigte Erprobungsmodule, die von Fachleuten ausschließlich in Forschungs- und Entwicklungseinrichtungen für Forschungs- und Entwicklungszwecke verwendet werden,</w:t>
      </w:r>
    </w:p>
    <w:p>
      <w:pPr>
        <w:ind w:left="420"/>
      </w:pPr>
      <w:r>
        <w:t xml:space="preserve">4. Betriebsmittel, die</w:t>
      </w:r>
    </w:p>
    <w:p>
      <w:pPr>
        <w:ind w:left="780"/>
      </w:pPr>
      <w:r>
        <w:t xml:space="preserve">a) ausschließlich zur Erfüllung militärischer zwischenstaatlicher Verpflichtungen bestimmt sind oder ihrer Bauart nach zur Verwendung für Zwecke der Verteidigung bestimmt sind oder</w:t>
      </w:r>
    </w:p>
    <w:p>
      <w:pPr>
        <w:ind w:left="780"/>
      </w:pPr>
      <w:r>
        <w:t xml:space="preserve">b) für die Verfolgung von Straftaten und Ordnungswidrigkeiten oder für die öffentliche Sicherheit eingesetzt werden.</w:t>
      </w:r>
    </w:p>
    <w:p>
      <w:r>
        <w:t xml:space="preserve">(4) Entsprechend gilt ebenfalls die Besondere Gebührenverordnung des Bundesministeriums für Wirtschaft und Energie nach § 22 Absatz 4 des Bundesgebührengesetzes.</w:t>
      </w:r>
    </w:p>
    <w:p>
      <w:r>
        <w:rPr>
          <w:color w:val="555555"/>
          <w:sz w:val="17"/>
        </w:rPr>
        <w:t xml:space="preserve">Zitiervorschlag: § 2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