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EMVG 2016 — CE-Kennzeichnung von Geräten</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Geräte, deren Übereinstimmung mit den Anforderungen des § 4 im Verfahren nach § 17 Absatz 1 nachgewiesen wurde, sind, bevor sie in Verkehr gebracht werden, mit der CE-Kennzeichnung zu versehen.</w:t>
      </w:r>
    </w:p>
    <w:p>
      <w:r>
        <w:t xml:space="preserve">(2) Für die CE-Kennzeichnung gelten die allgemeinen Grundsätze nach Artikel 30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w:t>
      </w:r>
    </w:p>
    <w:p>
      <w:r>
        <w:t xml:space="preserve">(3) Die CE-Kennzeichnung ist gut sichtbar, gut lesbar und dauerhaft auf dem Gerät oder seiner Datenplakette anzubringen. Falls die Art des Gerätes das nicht zulässt oder nicht rechtfertigt, ist die CE-Kennzeichnung auf der Verpackung und den Begleitunterlagen anzubringen.</w:t>
      </w:r>
    </w:p>
    <w:p>
      <w:r>
        <w:rPr>
          <w:color w:val="555555"/>
          <w:sz w:val="17"/>
        </w:rPr>
        <w:t xml:space="preserve">Zitiervorschlag: § 18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