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EMVG 2016 — Anwendungsbereich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alle Betriebsmittel, die elektromagnetische Störungen verursachen können oder deren Betrieb durch elektromagnetische Störungen beeinträchtigt werden kann.</w:t>
      </w:r>
    </w:p>
    <w:p>
      <w:r>
        <w:t xml:space="preserve">(2) Die Rechtsvorschriften der Europäischen Union und die nationalen Rechtsvorschriften für die Sicherheit von Betriebsmitteln bleiben unberührt.</w:t>
      </w:r>
    </w:p>
    <w:p>
      <w:r>
        <w:t xml:space="preserve">(3) Werden in Rechtsvorschriften der Europäischen Union spezifischere Festlegungen für Anforderungen an Betriebsmittel nach den §§ 4 und 5 getroffen, so gelten die entsprechenden Anforderungen der §§ 4 und 5 nicht oder nicht mehr ab dem Datum der Anwendung dieser Rechtsvorschriften.</w:t>
      </w:r>
    </w:p>
    <w:p>
      <w:r>
        <w:rPr>
          <w:color w:val="555555"/>
          <w:sz w:val="17"/>
        </w:rPr>
        <w:t xml:space="preserve">Zitiervorschlag: § 1 EMVG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