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EMVBeitrV 2002 — Inkrafttreten, Außerkrafttreten</w:t>
      </w:r>
    </w:p>
    <w:p>
      <w:r>
        <w:rPr>
          <w:color w:val="555555"/>
          <w:sz w:val="18"/>
        </w:rPr>
        <w:t xml:space="preserve">Verordnung über Beiträge nach dem Gesetz über die elektromagnetische Verträglichkeit von Geräten für die Jahre 1999, 2000, 2001 und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Verordnung tritt mit Wirkung vom 1. Januar 1999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8 EMVBeitrV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https://recht.nulegal.eu/gesetze/EMVBeitrV%202002/8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