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EMVBeitrV 2002 — Festlegung von EMV-Jahresbeiträgen für die Jahre 1999, 2000, 2001 und 2002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EMV-Beiträge für die Jahre 1999, 2000, 2001 und 2002 werden auf die in Spalte 5 der Anlage aufgeführten Jahresbeiträge je Bezugseinheit festgesetzt. Von dem durch Beiträge abzugeltenden Personal- und Sachaufwand trägt der Bund 25 Prozent als Selbstbehalt zur Abgeltung des Allgemeininteresses an der Gewährleistung der elektromagnetischen Verträglichkeit von Geräten. In den festgesetzten Beiträgen nach Satz 1 ist dies berücksichtigt.</w:t>
      </w:r>
    </w:p>
    <w:p>
      <w:r>
        <w:t xml:space="preserve">(2) Die Höhe des zu erhebenden Beitrags wird - sofern der sich aus Spalte 5 der Anlage zu dieser Verordnung ergebende nicht geringer ist - auf den Betrag begrenzt, der sich im Einzelfall für den Beitragspflichtigen aus der Verordnung über Beiträge nach dem Gesetz über die elektromagnetische Verträglichkeit von Geräten vom 12. November 1993 (BGBl. I S. 1898) für das Jahr 1999 ergeben hätte.</w:t>
      </w:r>
    </w:p>
    <w:p>
      <w:r>
        <w:rPr>
          <w:color w:val="555555"/>
          <w:sz w:val="17"/>
        </w:rPr>
        <w:t xml:space="preserve">Zitiervorschlag: § 3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