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EMV-FTEKostV 2013</w:t>
      </w:r>
    </w:p>
    <w:p>
      <w:r>
        <w:rPr>
          <w:color w:val="555555"/>
          <w:sz w:val="18"/>
        </w:rPr>
        <w:t xml:space="preserve">Verordnung über Gebühren und Auslagen für Amtshandlungen nach dem Gesetz über die elektromagnetische Verträglichkeit von Betriebsmitteln und nach dem Gesetz über Funkanlagen und Telekommunikationsendeinrichtungen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Auf Grund des § 17 Absatz 2 Nummer 1 des Gesetzes über die elektromagnetische Verträglichkeit von Betriebsmitteln, der zuletzt durch Artikel 2 Absatz 143 Nummer 2 des Gesetzes vom 7. August 2013 (BGBl. I S. 3154) geändert worden ist, und des § 16 Absatz 2 Nummer 1 des Gesetzes über Funkanlagen und Telekommunikationsendeinrichtungen, der zuletzt durch Artikel 2 Absatz 140 Nummer 3 des Gesetzes vom 7. August 2013 (BGBl. I S. 3154) geändert worden ist, verordnet das Bundesministerium für Wirtschaft und Technologie im Einvernehmen mit dem Bundesministerium der Finanzen:</w:t>
      </w:r>
    </w:p>
    <w:p>
      <w:r>
        <w:rPr>
          <w:color w:val="555555"/>
          <w:sz w:val="17"/>
        </w:rPr>
        <w:t xml:space="preserve">Zitiervorschlag: Eingangsformel EMV-FTEKostV 2013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https://recht.nulegal.eu/gesetze/EMV-FTEKostV%202013/eingangsformel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