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EMRK — Unterzeichnung und Ratifikation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Diese Konvention liegt für die Mitglieder des Europarats zur Unterzeichnung auf. Sie bedarf der Ratifikation. Die Ratifikationsurkunden werden beim Generalsekretär des Europarats hinterlegt.</w:t>
      </w:r>
    </w:p>
    <w:p>
      <w:r>
        <w:t xml:space="preserve">(2) Die Europäische Union kann dieser Konvention beitreten.</w:t>
      </w:r>
    </w:p>
    <w:p>
      <w:r>
        <w:t xml:space="preserve">(3) Diese Konvention tritt nach Hinterlegung von zehn Ratifikationsurkunden in Kraft.</w:t>
      </w:r>
    </w:p>
    <w:p>
      <w:r>
        <w:t xml:space="preserve">(4) Für jeden Unterzeichner, der die Konvention später ratifiziert, tritt sie mit der Hinterlegung seiner Ratifikationsurkunde in Kraft.</w:t>
      </w:r>
    </w:p>
    <w:p>
      <w:r>
        <w:t xml:space="preserve">(5) Der Generalsekretär des Europarats notifiziert allen Mitgliedern des Europarats das Inkrafttreten der Konvention, die Namen der Hohen Vertragsparteien, die sie ratifiziert haben, und jede spätere Hinterlegung einer Ratifikationsurkunde.</w:t>
      </w:r>
    </w:p>
    <w:p>
      <w:r>
        <w:rPr>
          <w:color w:val="555555"/>
          <w:sz w:val="17"/>
        </w:rPr>
        <w:t xml:space="preserve">Zitiervorschlag: Art 59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https://recht.nulegal.eu/gesetze/EMRK/59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