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53 EMRK — Wahrung anerkannter Menschenrechte</w:t>
      </w:r>
    </w:p>
    <w:p>
      <w:r>
        <w:rPr>
          <w:color w:val="555555"/>
          <w:sz w:val="18"/>
        </w:rPr>
        <w:t xml:space="preserve">EMRK</w:t>
      </w:r>
    </w:p>
    <w:p>
      <w:r>
        <w:rPr>
          <w:color w:val="555555"/>
          <w:sz w:val="18"/>
        </w:rPr>
        <w:t xml:space="preserve">Stand: 27.07.2026 (konsolidierte Textfassung, kein amtliches Inkrafttretensdatum)</w:t>
      </w:r>
    </w:p>
    <w:p>
      <w:r>
        <w:t xml:space="preserve">Diese Konvention ist nicht so auszulegen, als beschränke oder beeinträchtige sie Menschenrechte und Grundfreiheiten, die in den Gesetzen einer Hohen Vertragspartei oder in einer anderen Übereinkunft, deren Vertragspartei sie ist, anerkannt werden.</w:t>
      </w:r>
    </w:p>
    <w:p>
      <w:r>
        <w:rPr>
          <w:color w:val="555555"/>
          <w:sz w:val="17"/>
        </w:rPr>
        <w:t xml:space="preserve">Zitiervorschlag: Art 53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https://recht.nulegal.eu/gesetze/EMRK/53</w:t>
      </w:r>
    </w:p>
    <w:p>
      <w:r>
        <w:rPr>
          <w:color w:val="767676"/>
          <w:sz w:val="15"/>
        </w:rPr>
        <w:t xml:space="preserve">nu:legal · recht.nulegal.eu · Nicht-amtliche Lesefassung. Verbindlich ist die amtliche Fassung.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