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51 EMRK — Vorrechte und Immunitäten der Richter</w:t>
      </w:r>
    </w:p>
    <w:p>
      <w:r>
        <w:rPr>
          <w:color w:val="555555"/>
          <w:sz w:val="18"/>
        </w:rPr>
        <w:t xml:space="preserve">EMRK</w:t>
      </w:r>
    </w:p>
    <w:p>
      <w:r>
        <w:rPr>
          <w:color w:val="555555"/>
          <w:sz w:val="18"/>
        </w:rPr>
        <w:t xml:space="preserve">Stand: 27.07.2026 (konsolidierte Textfassung, kein amtliches Inkrafttretensdatum)</w:t>
      </w:r>
    </w:p>
    <w:p>
      <w:r>
        <w:t xml:space="preserve">Die Richter genießen bei der Ausübung ihres Amtes die Vorrechte und Immunitäten, die in Artikel 40 der Satzung des Europarats und den aufgrund jenes Artikels geschlossenen Übereinkünften vorgesehen sind.</w:t>
      </w:r>
    </w:p>
    <w:p>
      <w:r>
        <w:rPr>
          <w:color w:val="555555"/>
          <w:sz w:val="17"/>
        </w:rPr>
        <w:t xml:space="preserve">Zitiervorschlag: Art 51 EMRK</w:t>
      </w:r>
    </w:p>
    <w:p>
      <w:r>
        <w:rPr>
          <w:color w:val="555555"/>
          <w:sz w:val="17"/>
        </w:rPr>
        <w:t xml:space="preserve">Quelle: Bundesministerium der Justiz, abgerufen 27.07.2026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https://recht.nulegal.eu/gesetze/EMRK/51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