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50 EMRK — Kosten des Gerichtshofs</w:t>
      </w:r>
    </w:p>
    <w:p>
      <w:r>
        <w:rPr>
          <w:color w:val="555555"/>
          <w:sz w:val="18"/>
        </w:rPr>
        <w:t xml:space="preserve">EMRK</w:t>
      </w:r>
    </w:p>
    <w:p>
      <w:r>
        <w:rPr>
          <w:color w:val="555555"/>
          <w:sz w:val="18"/>
        </w:rPr>
        <w:t xml:space="preserve">Stand: 27.07.2026 (konsolidierte Textfassung, kein amtliches Inkrafttretensdatum)</w:t>
      </w:r>
    </w:p>
    <w:p>
      <w:r>
        <w:t xml:space="preserve">Die Kosten des Gerichtshofs werden vom Europarat getragen.</w:t>
      </w:r>
    </w:p>
    <w:p>
      <w:r>
        <w:rPr>
          <w:color w:val="555555"/>
          <w:sz w:val="17"/>
        </w:rPr>
        <w:t xml:space="preserve">Zitiervorschlag: Art 50 EMRK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https://recht.nulegal.eu/gesetze/EMRK/50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