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EMRK — Begründung der Gutachten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Die Gutachten des Gerichtshofs werden begründet.</w:t>
      </w:r>
    </w:p>
    <w:p>
      <w:r>
        <w:t xml:space="preserve">(2) Bringt das Gutachten ganz oder teilweise nicht die übereinstimmende Meinung der Richter zum Ausdruck, so ist jeder Richter berechtigt, seine abweichende Meinung darzulegen.</w:t>
      </w:r>
    </w:p>
    <w:p>
      <w:r>
        <w:t xml:space="preserve">(3) Die Gutachten des Gerichtshofs werden dem Ministerkomitee übermittelt.</w:t>
      </w:r>
    </w:p>
    <w:p>
      <w:r>
        <w:rPr>
          <w:color w:val="555555"/>
          <w:sz w:val="17"/>
        </w:rPr>
        <w:t xml:space="preserve">Zitiervorschlag: Art 49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https://recht.nulegal.eu/gesetze/EMRK/49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