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EMRK — Gutachten</w:t>
      </w:r>
    </w:p>
    <w:p>
      <w:r>
        <w:rPr>
          <w:color w:val="555555"/>
          <w:sz w:val="18"/>
        </w:rPr>
        <w:t xml:space="preserve">EMRK</w:t>
      </w:r>
    </w:p>
    <w:p>
      <w:r>
        <w:rPr>
          <w:color w:val="555555"/>
          <w:sz w:val="18"/>
        </w:rPr>
        <w:t xml:space="preserve">Stand: 27.07.2026 (konsolidierte Textfassung, kein amtliches Inkrafttretensdatum)</w:t>
      </w:r>
    </w:p>
    <w:p>
      <w:r>
        <w:t xml:space="preserve">(1) Der Gerichtshof kann auf Antrag des Ministerkomitees Gutachten über Rechtsfragen erstatten, welche die Auslegung dieser Konvention und der Protokolle dazu betreffen.</w:t>
      </w:r>
    </w:p>
    <w:p>
      <w:r>
        <w:t xml:space="preserve">(2) Diese Gutachten dürfen keine Fragen zum Gegenstand haben, die sich auf den Inhalt oder das Ausmaß der in Abschnitt I dieser Konvention und in den Protokollen dazu anerkannten Rechte und Freiheiten beziehen, noch andere Fragen, über die der Gerichtshof oder das Ministerkomitee auf Grund eines nach dieser Konvention eingeleiteten Verfahrens zu entscheiden haben könnte.</w:t>
      </w:r>
    </w:p>
    <w:p>
      <w:r>
        <w:t xml:space="preserve">(3) Der Beschluss des Ministerkomitees, ein Gutachten beim Gerichtshof zu beantragen, bedarf der Mehrheit der Stimmen der zur Teilnahme an den Sitzungen des Komitees berechtigten Mitglieder.</w:t>
      </w:r>
    </w:p>
    <w:p>
      <w:r>
        <w:rPr>
          <w:color w:val="555555"/>
          <w:sz w:val="17"/>
        </w:rPr>
        <w:t xml:space="preserve">Zitiervorschlag: Art 47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https://recht.nulegal.eu/gesetze/EMRK/47</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