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EMRK — Begründung der Urteile und Entscheidungen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Urteile sowie Entscheidungen, mit denen Beschwerden für zulässig oder für unzulässig erklärt werden, werden begründet.</w:t>
      </w:r>
    </w:p>
    <w:p>
      <w:r>
        <w:t xml:space="preserve">(2) Bringt ein Urteil ganz oder teilweise nicht die übereinstimmende Meinung der Richter zum Ausdruck, so ist jeder Richter berechtigt, seine abweichende Meinung darzulegen.</w:t>
      </w:r>
    </w:p>
    <w:p>
      <w:r>
        <w:rPr>
          <w:color w:val="555555"/>
          <w:sz w:val="17"/>
        </w:rPr>
        <w:t xml:space="preserve">Zitiervorschlag: Art 45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https://recht.nulegal.eu/gesetze/EMRK/45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