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41 EMRK — Gerechte Entschädigung</w:t>
      </w:r>
    </w:p>
    <w:p>
      <w:r>
        <w:rPr>
          <w:color w:val="555555"/>
          <w:sz w:val="18"/>
        </w:rPr>
        <w:t xml:space="preserve">EMRK</w:t>
      </w:r>
    </w:p>
    <w:p>
      <w:r>
        <w:rPr>
          <w:color w:val="555555"/>
          <w:sz w:val="18"/>
        </w:rPr>
        <w:t xml:space="preserve">Stand: 27.07.2026 (konsolidierte Textfassung, kein amtliches Inkrafttretensdatum)</w:t>
      </w:r>
    </w:p>
    <w:p>
      <w:r>
        <w:t xml:space="preserve">Stellt der Gerichtshof fest, dass diese Konvention oder die Protokolle dazu verletzt worden sind, und gestattet das innerstaatliche Recht der Hohen Vertragspartei nur eine unvollkommene Wiedergutmachung für die Folgen dieser Verletzung, so spricht der Gerichtshof der verletzten Partei eine gerechte Entschädigung zu, wenn dies notwendig ist.</w:t>
      </w:r>
    </w:p>
    <w:p>
      <w:r>
        <w:rPr>
          <w:color w:val="555555"/>
          <w:sz w:val="17"/>
        </w:rPr>
        <w:t xml:space="preserve">Zitiervorschlag: Art 41 EMRK</w:t>
      </w:r>
    </w:p>
    <w:p>
      <w:r>
        <w:rPr>
          <w:color w:val="555555"/>
          <w:sz w:val="17"/>
        </w:rPr>
        <w:t xml:space="preserve">Quelle: Bundesministerium der Justiz, abgerufen 27.07.2026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https://recht.nulegal.eu/gesetze/EMRK/41</w:t>
      </w:r>
    </w:p>
    <w:p>
      <w:r>
        <w:rPr>
          <w:color w:val="767676"/>
          <w:sz w:val="15"/>
        </w:rPr>
        <w:t xml:space="preserve">nu:legal · recht.nulegal.eu · Nicht-amtliche Lesefassung. Verbindlich ist die amtliche Fassung.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