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EMRK — Öffentliche Verhandlung und Akteneinsicht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(1) Die Verhandlung ist öffentlich, soweit nicht der Gerichtshof auf Grund besonderer Umstände anders entscheidet.</w:t>
      </w:r>
    </w:p>
    <w:p>
      <w:r>
        <w:t xml:space="preserve">(2) Die beim Kanzler verwahrten Schriftstücke sind der Öffentlichkeit zugänglich, soweit nicht der Präsident des Gerichtshofs anders entscheidet.</w:t>
      </w:r>
    </w:p>
    <w:p>
      <w:r>
        <w:rPr>
          <w:color w:val="555555"/>
          <w:sz w:val="17"/>
        </w:rPr>
        <w:t xml:space="preserve">Zitiervorschlag: Art 40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https://recht.nulegal.eu/gesetze/EMRK/40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