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EMRK — Gütliche Einigung</w:t>
      </w:r>
    </w:p>
    <w:p>
      <w:r>
        <w:rPr>
          <w:color w:val="555555"/>
          <w:sz w:val="18"/>
        </w:rPr>
        <w:t xml:space="preserve">EMRK</w:t>
      </w:r>
    </w:p>
    <w:p>
      <w:r>
        <w:rPr>
          <w:color w:val="555555"/>
          <w:sz w:val="18"/>
        </w:rPr>
        <w:t xml:space="preserve">Stand: 27.07.2026 (konsolidierte Textfassung, kein amtliches Inkrafttretensdatum)</w:t>
      </w:r>
    </w:p>
    <w:p>
      <w:r>
        <w:t xml:space="preserve">(1) Der Gerichtshof kann sich jederzeit während des Verfahrens zur Verfügung der Parteien halten mit dem Ziel, eine gütliche Einigung auf der Grundlage der Achtung der Menschenrechte, wie sie in dieser Konvention und den Protokollen dazu anerkannt sind, zu erreichen.</w:t>
      </w:r>
    </w:p>
    <w:p>
      <w:r>
        <w:t xml:space="preserve">(2) Das Verfahren nach Absatz 1 ist vertraulich.</w:t>
      </w:r>
    </w:p>
    <w:p>
      <w:r>
        <w:t xml:space="preserve">(3) Im Fall einer gütlichen Einigung streicht der Gerichtshof durch eine Entscheidung, die sich auf eine kurze Angabe des Sachverhalts und der erzielten Lösung beschränkt, die Rechtssache in seinem Register.</w:t>
      </w:r>
    </w:p>
    <w:p>
      <w:r>
        <w:t xml:space="preserve">(4) Diese Entscheidung ist dem Ministerkomitee zuzuleiten; dieses überwacht die Durchführung der gütlichen Einigung, wie sie in der Entscheidung festgehalten wird.</w:t>
      </w:r>
    </w:p>
    <w:p>
      <w:r>
        <w:rPr>
          <w:color w:val="555555"/>
          <w:sz w:val="17"/>
        </w:rPr>
        <w:t xml:space="preserve">Zitiervorschlag: Art 39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https://recht.nulegal.eu/gesetze/EMRK/39</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