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EMRK — Beteiligung Dritter</w:t>
      </w:r>
    </w:p>
    <w:p>
      <w:r>
        <w:rPr>
          <w:color w:val="555555"/>
          <w:sz w:val="18"/>
        </w:rPr>
        <w:t xml:space="preserve">EMRK</w:t>
      </w:r>
    </w:p>
    <w:p>
      <w:r>
        <w:rPr>
          <w:color w:val="555555"/>
          <w:sz w:val="18"/>
        </w:rPr>
        <w:t xml:space="preserve">Stand: 27.07.2026 (konsolidierte Textfassung, kein amtliches Inkrafttretensdatum)</w:t>
      </w:r>
    </w:p>
    <w:p>
      <w:r>
        <w:t xml:space="preserve">(1) In allen bei einer Kammer oder der Großen Kammer anhängigen Rechtssachen ist die Hohe Vertragspartei, deren Staatsangehörigkeit der Beschwerdeführer besitzt, berechtigt, schriftliche Stellungnahmen abzugeben und an den mündlichen Verhandlungen teilzunehmen.</w:t>
      </w:r>
    </w:p>
    <w:p>
      <w:r>
        <w:t xml:space="preserve">(2) Im Interesse der Rechtspflege kann der Präsident des Gerichtshofs jeder Hohen Vertragspartei, die in dem Verfahren nicht Partei ist, oder jeder betroffenen Person, die nicht Beschwerdeführer ist, Gelegenheit geben, schriftlich Stellung zu nehmen oder an den mündlichen Verhandlungen teilzunehmen.</w:t>
      </w:r>
    </w:p>
    <w:p>
      <w:r>
        <w:t xml:space="preserve">(3) In allen bei einer Kammer oder der Großen Kammer anhängigen Rechtssachen kann der Kommissar für Menschenrechte des Europarats schriftliche Stellungnahmen abgeben und an den mündlichen Verhandlungen teilnehmen.</w:t>
      </w:r>
    </w:p>
    <w:p>
      <w:r>
        <w:rPr>
          <w:color w:val="555555"/>
          <w:sz w:val="17"/>
        </w:rPr>
        <w:t xml:space="preserve">Zitiervorschlag: Art 36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https://recht.nulegal.eu/gesetze/EMRK/36</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