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35 EMRK — Zulässigkeitsvoraussetzungen</w:t>
      </w:r>
    </w:p>
    <w:p>
      <w:r>
        <w:rPr>
          <w:color w:val="555555"/>
          <w:sz w:val="18"/>
        </w:rPr>
        <w:t xml:space="preserve">EMRK</w:t>
      </w:r>
    </w:p>
    <w:p>
      <w:r>
        <w:rPr>
          <w:color w:val="555555"/>
          <w:sz w:val="18"/>
        </w:rPr>
        <w:t xml:space="preserve">Stand: 27.07.2026 (konsolidierte Textfassung, kein amtliches Inkrafttretensdatum)</w:t>
      </w:r>
    </w:p>
    <w:p>
      <w:r>
        <w:t xml:space="preserve">(1) Der Gerichtshof kann sich mit einer Angelegenheit erst nach Erschöpfung aller innerstaatlichen Rechtsbehelfe in Übereinstimmung mit den allgemein anerkannten Grundsätzen des Völkerrechts und nur innerhalb einer Frist von vier Monaten nach der endgültigen innerstaatlichen Entscheidung befassen.</w:t>
      </w:r>
    </w:p>
    <w:p>
      <w:r>
        <w:t xml:space="preserve">(2) Der Gerichtshof befasst sich nicht mit einer nach Artikel 34 erhobenen Individualbeschwerde, die</w:t>
      </w:r>
    </w:p>
    <w:p>
      <w:r>
        <w:t xml:space="preserve">a) anonym ist oder</w:t>
      </w:r>
    </w:p>
    <w:p>
      <w:r>
        <w:t xml:space="preserve">b) im Wesentlichen mit einer schon vorher vom Gerichtshof geprüften Beschwerde übereinstimmt oder schon einer anderen internationalen Untersuchungs- oder Vergleichsinstanz unterbreitet worden ist und keine neuen Tatsachen enthält.</w:t>
      </w:r>
    </w:p>
    <w:p>
      <w:r>
        <w:t xml:space="preserve">(3) Der Gerichtshof erklärt eine nach Artikel 34 erhobene Individualbeschwerde für unzulässig,</w:t>
      </w:r>
    </w:p>
    <w:p>
      <w:r>
        <w:t xml:space="preserve">a) wenn er sie für unvereinbar mit dieser Konvention oder den Protokollen dazu, für offensichtlich unbegründet oder für missbräuchlich hält oder</w:t>
      </w:r>
    </w:p>
    <w:p>
      <w:r>
        <w:t xml:space="preserve">b) wenn er der Ansicht ist, dass dem Beschwerdeführer kein erheblicher Nachteil entstanden ist, es sei denn, die Achtung der Menschenrechte, wie sie in dieser Konvention und den Protokollen dazu anerkannt sind, erfordert eine Prüfung der Begründetheit der Beschwerde.</w:t>
      </w:r>
    </w:p>
    <w:p>
      <w:r>
        <w:t xml:space="preserve">(4) Der Gerichtshof weist eine Beschwerde zurück, die er nach diesem Artikel für unzulässig hält. Er kann dies in jedem Stadium des Verfahrens tun.</w:t>
      </w:r>
    </w:p>
    <w:p>
      <w:r>
        <w:rPr>
          <w:color w:val="555555"/>
          <w:sz w:val="17"/>
        </w:rPr>
        <w:t xml:space="preserve">Zitiervorschlag: Art 35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